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宋体"/>
          <w:color w:val="000000" w:themeColor="text1"/>
        </w:rPr>
      </w:pPr>
      <w:r>
        <w:rPr>
          <w:rFonts w:hint="eastAsia" w:eastAsia="宋体"/>
          <w:color w:val="000000" w:themeColor="text1"/>
        </w:rPr>
        <w:drawing>
          <wp:inline distT="0" distB="0" distL="114300" distR="114300">
            <wp:extent cx="3981450" cy="1407795"/>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3978206" cy="1407158"/>
                    </a:xfrm>
                    <a:prstGeom prst="rect">
                      <a:avLst/>
                    </a:prstGeom>
                  </pic:spPr>
                </pic:pic>
              </a:graphicData>
            </a:graphic>
          </wp:inline>
        </w:drawing>
      </w:r>
    </w:p>
    <w:p>
      <w:pPr>
        <w:jc w:val="center"/>
        <w:rPr>
          <w:rFonts w:hint="eastAsia" w:eastAsia="宋体"/>
          <w:color w:val="000000" w:themeColor="text1"/>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课程与教学论--数学专业招生简章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课程与教学论是教育学专业硕士研究生开设的一门专业课程，包含有课程论、教学论、学科教学论等，课程与教学是学校教育的基本工作，是教师在每日工作中需要解决实际的课程与教学问题，目前本校开设了课程与教学论数学专业同等学力申硕学习班，为广大在职社会需要晋升人士提供提升学历的学习机会。</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spacing w:line="480" w:lineRule="exact"/>
        <w:ind w:firstLine="480" w:firstLineChars="200"/>
        <w:rPr>
          <w:rFonts w:hint="eastAsia" w:eastAsia="宋体"/>
          <w:color w:val="000000" w:themeColor="text1"/>
          <w:sz w:val="24"/>
        </w:rPr>
      </w:pPr>
      <w:r>
        <w:rPr>
          <w:rFonts w:hint="eastAsia" w:eastAsia="宋体"/>
          <w:color w:val="000000" w:themeColor="text1"/>
          <w:sz w:val="24"/>
        </w:rPr>
        <w:t>本专业主要通过学习和掌握扎实的数学基础和教育学理论知识，系统全面的掌握课程与教学数学基本理论，了解与初步应用相关数学教育技术手段，能够熟练掌握一门外语并且关注国内外数学课程与教学理论的发展和最新前沿动态，积极的参与和探索数学相关课程的设计、开发和研究，能够在大中小院校从事数学教育的教学人才和教学管理人员。</w:t>
      </w:r>
    </w:p>
    <w:p>
      <w:pPr>
        <w:spacing w:line="480" w:lineRule="exact"/>
        <w:ind w:firstLine="480" w:firstLineChars="200"/>
        <w:rPr>
          <w:rFonts w:hint="eastAsia" w:eastAsia="宋体"/>
          <w:color w:val="000000" w:themeColor="text1"/>
          <w:sz w:val="24"/>
        </w:rPr>
      </w:pPr>
    </w:p>
    <w:p>
      <w:pPr>
        <w:spacing w:line="480" w:lineRule="exact"/>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7"/>
        <w:tblW w:w="8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27"/>
        <w:gridCol w:w="2198"/>
        <w:gridCol w:w="3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55" w:type="dxa"/>
            <w:gridSpan w:val="3"/>
            <w:vAlign w:val="center"/>
          </w:tcPr>
          <w:p>
            <w:pPr>
              <w:pStyle w:val="5"/>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课程与教学论--数学专业课程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27" w:type="dxa"/>
            <w:vAlign w:val="center"/>
          </w:tcPr>
          <w:p>
            <w:pPr>
              <w:pStyle w:val="5"/>
              <w:snapToGrid w:val="0"/>
              <w:spacing w:line="360" w:lineRule="auto"/>
              <w:contextualSpacing/>
              <w:jc w:val="center"/>
              <w:rPr>
                <w:bCs/>
                <w:color w:val="000000" w:themeColor="text1"/>
              </w:rPr>
            </w:pPr>
            <w:r>
              <w:rPr>
                <w:rFonts w:hint="eastAsia"/>
                <w:bCs/>
                <w:color w:val="000000" w:themeColor="text1"/>
              </w:rPr>
              <w:t>教育学原理</w:t>
            </w:r>
          </w:p>
        </w:tc>
        <w:tc>
          <w:tcPr>
            <w:tcW w:w="2198" w:type="dxa"/>
            <w:vAlign w:val="center"/>
          </w:tcPr>
          <w:p>
            <w:pPr>
              <w:spacing w:line="220" w:lineRule="atLeast"/>
              <w:jc w:val="center"/>
              <w:rPr>
                <w:color w:val="000000" w:themeColor="text1"/>
                <w:sz w:val="24"/>
              </w:rPr>
            </w:pPr>
            <w:r>
              <w:rPr>
                <w:rFonts w:hint="eastAsia"/>
                <w:color w:val="000000" w:themeColor="text1"/>
                <w:sz w:val="24"/>
              </w:rPr>
              <w:t>第一外国语</w:t>
            </w:r>
          </w:p>
        </w:tc>
        <w:tc>
          <w:tcPr>
            <w:tcW w:w="3330" w:type="dxa"/>
            <w:vAlign w:val="center"/>
          </w:tcPr>
          <w:p>
            <w:pPr>
              <w:pStyle w:val="5"/>
              <w:snapToGrid w:val="0"/>
              <w:spacing w:line="360" w:lineRule="auto"/>
              <w:contextualSpacing/>
              <w:jc w:val="center"/>
              <w:rPr>
                <w:bCs/>
                <w:color w:val="000000" w:themeColor="text1"/>
              </w:rPr>
            </w:pPr>
            <w:r>
              <w:rPr>
                <w:rFonts w:hint="eastAsia"/>
                <w:bCs/>
                <w:color w:val="000000" w:themeColor="text1"/>
              </w:rPr>
              <w:t>教育心理学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27"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数学教育测量与评估</w:t>
            </w:r>
          </w:p>
        </w:tc>
        <w:tc>
          <w:tcPr>
            <w:tcW w:w="2198"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数学教育学</w:t>
            </w:r>
          </w:p>
        </w:tc>
        <w:tc>
          <w:tcPr>
            <w:tcW w:w="3330"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数学教育科学研究方法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27" w:type="dxa"/>
            <w:vAlign w:val="center"/>
          </w:tcPr>
          <w:p>
            <w:pPr>
              <w:jc w:val="center"/>
              <w:rPr>
                <w:color w:val="000000" w:themeColor="text1"/>
                <w:sz w:val="24"/>
              </w:rPr>
            </w:pPr>
            <w:r>
              <w:rPr>
                <w:color w:val="000000" w:themeColor="text1"/>
                <w:sz w:val="24"/>
              </w:rPr>
              <w:t>中国特色社会主义理论与实践</w:t>
            </w:r>
          </w:p>
        </w:tc>
        <w:tc>
          <w:tcPr>
            <w:tcW w:w="2198" w:type="dxa"/>
            <w:vAlign w:val="center"/>
          </w:tcPr>
          <w:p>
            <w:pPr>
              <w:spacing w:line="220" w:lineRule="atLeast"/>
              <w:jc w:val="center"/>
              <w:rPr>
                <w:color w:val="000000" w:themeColor="text1"/>
                <w:sz w:val="24"/>
              </w:rPr>
            </w:pPr>
            <w:r>
              <w:rPr>
                <w:rFonts w:hint="eastAsia"/>
                <w:color w:val="000000" w:themeColor="text1"/>
                <w:sz w:val="24"/>
              </w:rPr>
              <w:t>课程与教学论</w:t>
            </w:r>
          </w:p>
        </w:tc>
        <w:tc>
          <w:tcPr>
            <w:tcW w:w="3330" w:type="dxa"/>
            <w:vAlign w:val="center"/>
          </w:tcPr>
          <w:p>
            <w:pPr>
              <w:pStyle w:val="5"/>
              <w:snapToGrid w:val="0"/>
              <w:spacing w:line="360" w:lineRule="auto"/>
              <w:contextualSpacing/>
              <w:jc w:val="center"/>
              <w:rPr>
                <w:bCs/>
                <w:color w:val="000000" w:themeColor="text1"/>
              </w:rPr>
            </w:pPr>
            <w:r>
              <w:rPr>
                <w:rFonts w:hint="eastAsia"/>
                <w:bCs/>
                <w:color w:val="000000" w:themeColor="text1"/>
              </w:rPr>
              <w:t>代数基础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27" w:type="dxa"/>
            <w:vAlign w:val="center"/>
          </w:tcPr>
          <w:p>
            <w:pPr>
              <w:pStyle w:val="5"/>
              <w:snapToGrid w:val="0"/>
              <w:spacing w:line="360" w:lineRule="auto"/>
              <w:contextualSpacing/>
              <w:jc w:val="center"/>
              <w:rPr>
                <w:bCs/>
                <w:color w:val="000000" w:themeColor="text1"/>
              </w:rPr>
            </w:pPr>
            <w:r>
              <w:rPr>
                <w:rFonts w:hint="eastAsia"/>
                <w:bCs/>
                <w:color w:val="000000" w:themeColor="text1"/>
              </w:rPr>
              <w:t>概率论基础</w:t>
            </w:r>
          </w:p>
        </w:tc>
        <w:tc>
          <w:tcPr>
            <w:tcW w:w="2198"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数学教育国际比较</w:t>
            </w:r>
          </w:p>
        </w:tc>
        <w:tc>
          <w:tcPr>
            <w:tcW w:w="3330"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数学方法论与数学文化概论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27" w:type="dxa"/>
            <w:vAlign w:val="center"/>
          </w:tcPr>
          <w:p>
            <w:pPr>
              <w:pStyle w:val="5"/>
              <w:snapToGrid w:val="0"/>
              <w:spacing w:line="360" w:lineRule="auto"/>
              <w:contextualSpacing/>
              <w:jc w:val="center"/>
              <w:rPr>
                <w:bCs/>
                <w:color w:val="000000" w:themeColor="text1"/>
              </w:rPr>
            </w:pPr>
            <w:r>
              <w:rPr>
                <w:rFonts w:hint="eastAsia"/>
                <w:bCs/>
                <w:color w:val="000000" w:themeColor="text1"/>
              </w:rPr>
              <w:t>数学教育评价</w:t>
            </w:r>
          </w:p>
        </w:tc>
        <w:tc>
          <w:tcPr>
            <w:tcW w:w="2198" w:type="dxa"/>
            <w:vAlign w:val="center"/>
          </w:tcPr>
          <w:p>
            <w:pPr>
              <w:pStyle w:val="5"/>
              <w:snapToGrid w:val="0"/>
              <w:spacing w:line="360" w:lineRule="auto"/>
              <w:contextualSpacing/>
              <w:jc w:val="center"/>
              <w:rPr>
                <w:bCs/>
                <w:color w:val="000000" w:themeColor="text1"/>
              </w:rPr>
            </w:pPr>
            <w:r>
              <w:rPr>
                <w:rFonts w:hint="eastAsia"/>
                <w:bCs/>
                <w:color w:val="000000" w:themeColor="text1"/>
              </w:rPr>
              <w:t>中外数学教育体制</w:t>
            </w:r>
          </w:p>
        </w:tc>
        <w:tc>
          <w:tcPr>
            <w:tcW w:w="3330" w:type="dxa"/>
            <w:vAlign w:val="center"/>
          </w:tcPr>
          <w:p>
            <w:pPr>
              <w:pStyle w:val="5"/>
              <w:snapToGrid w:val="0"/>
              <w:spacing w:line="360" w:lineRule="auto"/>
              <w:contextualSpacing/>
              <w:jc w:val="center"/>
              <w:rPr>
                <w:bCs/>
                <w:color w:val="000000" w:themeColor="text1"/>
              </w:rPr>
            </w:pPr>
            <w:r>
              <w:rPr>
                <w:rFonts w:hint="eastAsia"/>
                <w:bCs/>
                <w:color w:val="000000" w:themeColor="text1"/>
              </w:rPr>
              <w:t>应用统计学</w:t>
            </w:r>
          </w:p>
        </w:tc>
      </w:tr>
    </w:tbl>
    <w:p>
      <w:pPr>
        <w:rPr>
          <w:rFonts w:eastAsia="宋体"/>
          <w:b/>
          <w:bCs/>
          <w:color w:val="000000" w:themeColor="text1"/>
          <w:sz w:val="24"/>
        </w:rPr>
      </w:pPr>
    </w:p>
    <w:p>
      <w:pPr>
        <w:pStyle w:val="5"/>
        <w:snapToGrid w:val="0"/>
        <w:spacing w:line="360" w:lineRule="auto"/>
        <w:ind w:firstLine="2730" w:firstLineChars="1300"/>
        <w:contextualSpacing/>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 xml:space="preserve">3、具有专科学历或本科学历无学士学位者，具有两年以上工作经验，经申 请也可报读，但不能申请硕士学位。 </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bookmarkStart w:id="0" w:name="_GoBack"/>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bookmarkEnd w:id="0"/>
    <w:p>
      <w:pPr>
        <w:rPr>
          <w:rFonts w:eastAsia="宋体"/>
          <w:b/>
          <w:bCs/>
          <w:color w:val="000000" w:themeColor="text1"/>
          <w:sz w:val="24"/>
        </w:rPr>
      </w:pPr>
    </w:p>
    <w:p>
      <w:pPr>
        <w:rPr>
          <w:rFonts w:eastAsia="宋体"/>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050B1C"/>
    <w:rsid w:val="00150D59"/>
    <w:rsid w:val="001E3315"/>
    <w:rsid w:val="003B3EE6"/>
    <w:rsid w:val="004F54D8"/>
    <w:rsid w:val="05FE7AC9"/>
    <w:rsid w:val="064101D3"/>
    <w:rsid w:val="07352E6D"/>
    <w:rsid w:val="09A653FE"/>
    <w:rsid w:val="130B01B1"/>
    <w:rsid w:val="16F829FB"/>
    <w:rsid w:val="1C467C45"/>
    <w:rsid w:val="38373238"/>
    <w:rsid w:val="39B91BA0"/>
    <w:rsid w:val="3A7D2394"/>
    <w:rsid w:val="3BF32169"/>
    <w:rsid w:val="462B4F19"/>
    <w:rsid w:val="467E54CB"/>
    <w:rsid w:val="47150AA3"/>
    <w:rsid w:val="4A726E33"/>
    <w:rsid w:val="50E70A65"/>
    <w:rsid w:val="53664384"/>
    <w:rsid w:val="5E78697C"/>
    <w:rsid w:val="66560B5E"/>
    <w:rsid w:val="67F2675C"/>
    <w:rsid w:val="68543E4E"/>
    <w:rsid w:val="68BB4662"/>
    <w:rsid w:val="796930ED"/>
    <w:rsid w:val="79BA3DFB"/>
    <w:rsid w:val="7D9D0D4D"/>
    <w:rsid w:val="7EAC2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275</Words>
  <Characters>1574</Characters>
  <Lines>13</Lines>
  <Paragraphs>3</Paragraphs>
  <TotalTime>10</TotalTime>
  <ScaleCrop>false</ScaleCrop>
  <LinksUpToDate>false</LinksUpToDate>
  <CharactersWithSpaces>1846</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2021-11-03T04:02:46Z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6B0574ECB7EC4B04ADD5257E252CB0D3</vt:lpwstr>
  </property>
</Properties>
</file>