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宋体"/>
          <w:color w:val="000000" w:themeColor="text1"/>
        </w:rPr>
      </w:pPr>
      <w:r>
        <w:rPr>
          <w:rFonts w:hint="eastAsia" w:eastAsia="宋体"/>
          <w:color w:val="000000" w:themeColor="text1"/>
        </w:rPr>
        <w:drawing>
          <wp:inline distT="0" distB="0" distL="114300" distR="114300">
            <wp:extent cx="4238625" cy="1499235"/>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4235172" cy="1498051"/>
                    </a:xfrm>
                    <a:prstGeom prst="rect">
                      <a:avLst/>
                    </a:prstGeom>
                  </pic:spPr>
                </pic:pic>
              </a:graphicData>
            </a:graphic>
          </wp:inline>
        </w:drawing>
      </w:r>
    </w:p>
    <w:p>
      <w:pPr>
        <w:ind w:firstLine="723" w:firstLineChars="200"/>
        <w:rPr>
          <w:rFonts w:hint="eastAsia" w:eastAsia="宋体"/>
          <w:b/>
          <w:bCs/>
          <w:color w:val="000000" w:themeColor="text1"/>
          <w:sz w:val="36"/>
          <w:szCs w:val="36"/>
        </w:rPr>
      </w:pPr>
      <w:r>
        <w:rPr>
          <w:rFonts w:hint="eastAsia" w:eastAsia="宋体"/>
          <w:b/>
          <w:bCs/>
          <w:color w:val="000000" w:themeColor="text1"/>
          <w:sz w:val="36"/>
          <w:szCs w:val="36"/>
        </w:rPr>
        <w:t>湖北师范大学同等学力申请硕士学位教育史</w:t>
      </w:r>
    </w:p>
    <w:p>
      <w:pPr>
        <w:ind w:firstLine="2891" w:firstLineChars="800"/>
        <w:rPr>
          <w:rFonts w:eastAsia="宋体"/>
          <w:b/>
          <w:bCs/>
          <w:color w:val="000000" w:themeColor="text1"/>
          <w:sz w:val="36"/>
          <w:szCs w:val="36"/>
        </w:rPr>
      </w:pPr>
      <w:r>
        <w:rPr>
          <w:rFonts w:hint="eastAsia" w:eastAsia="宋体"/>
          <w:b/>
          <w:bCs/>
          <w:color w:val="000000" w:themeColor="text1"/>
          <w:sz w:val="36"/>
          <w:szCs w:val="36"/>
        </w:rPr>
        <w:t>专业招生简章</w:t>
      </w:r>
    </w:p>
    <w:p>
      <w:pPr>
        <w:rPr>
          <w:rFonts w:eastAsia="宋体"/>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学校简介：</w:t>
      </w:r>
    </w:p>
    <w:p>
      <w:pPr>
        <w:spacing w:line="360" w:lineRule="auto"/>
        <w:ind w:firstLine="480" w:firstLineChars="200"/>
        <w:rPr>
          <w:rFonts w:eastAsia="宋体"/>
          <w:color w:val="000000" w:themeColor="text1"/>
          <w:sz w:val="24"/>
        </w:rPr>
      </w:pPr>
      <w:r>
        <w:rPr>
          <w:rFonts w:hint="eastAsia" w:eastAsia="宋体"/>
          <w:color w:val="000000" w:themeColor="text1"/>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 教育史专业是一级学科教育学专业下的</w:t>
      </w:r>
      <w:r>
        <w:fldChar w:fldCharType="begin"/>
      </w:r>
      <w:r>
        <w:instrText xml:space="preserve"> HYPERLINK "https://www.dxsbb.com/news/list_81.html" \t "https://www.dxsbb.com/news/_blank" </w:instrText>
      </w:r>
      <w:r>
        <w:fldChar w:fldCharType="separate"/>
      </w:r>
      <w:r>
        <w:rPr>
          <w:rFonts w:hint="eastAsia" w:eastAsia="宋体"/>
          <w:color w:val="000000" w:themeColor="text1"/>
          <w:sz w:val="24"/>
        </w:rPr>
        <w:t>二级</w:t>
      </w:r>
      <w:r>
        <w:rPr>
          <w:rFonts w:hint="eastAsia" w:eastAsia="宋体"/>
          <w:color w:val="000000" w:themeColor="text1"/>
          <w:sz w:val="24"/>
        </w:rPr>
        <w:fldChar w:fldCharType="end"/>
      </w:r>
      <w:r>
        <w:rPr>
          <w:rFonts w:hint="eastAsia" w:eastAsia="宋体"/>
          <w:color w:val="000000" w:themeColor="text1"/>
          <w:sz w:val="24"/>
        </w:rPr>
        <w:t>学科，它以宽阔的眼光，多维度、广视角、深层次地探讨自古至今中外教育制度和思想产生、发展、演变的历史及其规律性，从而为我国当代教育理论研究、教育制度的变革，以及教育教学改革的实践提供有力的佐证和有益的咨询与建议，并为教育的未来健康发展勾勒远景蓝图，以促进我国教育理论和实践向高水平迈进。</w:t>
      </w:r>
    </w:p>
    <w:p>
      <w:pPr>
        <w:rPr>
          <w:rFonts w:eastAsia="宋体"/>
          <w:b/>
          <w:bCs/>
          <w:color w:val="000000" w:themeColor="text1"/>
          <w:sz w:val="24"/>
        </w:rPr>
      </w:pP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培养目标：</w:t>
      </w:r>
    </w:p>
    <w:p>
      <w:pPr>
        <w:spacing w:line="360" w:lineRule="auto"/>
        <w:ind w:firstLine="480" w:firstLineChars="200"/>
        <w:rPr>
          <w:rFonts w:eastAsia="宋体"/>
          <w:color w:val="000000" w:themeColor="text1"/>
          <w:sz w:val="24"/>
        </w:rPr>
      </w:pPr>
      <w:r>
        <w:rPr>
          <w:rFonts w:hint="eastAsia" w:eastAsia="宋体"/>
          <w:color w:val="000000" w:themeColor="text1"/>
          <w:sz w:val="24"/>
        </w:rPr>
        <w:t>本专业通过学习和掌握系统的教育史基础理论和专门知识，熟悉国内外教育史学理论发展的最新成果，培养具有从事教育科学研究的创新意识和独立从事教育实际工作的专门技术水平，能担任中教史、外教史、中外教育比较、中外文化教育交流、历史学等课程讲授与学术研究任务，胜任教育、文化、历史文献咨询及有关文教机构或高校的管</w:t>
      </w:r>
      <w:r>
        <w:fldChar w:fldCharType="begin"/>
      </w:r>
      <w:r>
        <w:instrText xml:space="preserve"> HYPERLINK "https://www.dxsbb.com/news/list_200.html" \t "https://www.dxsbb.com/news/_blank" </w:instrText>
      </w:r>
      <w:r>
        <w:fldChar w:fldCharType="separate"/>
      </w:r>
      <w:r>
        <w:rPr>
          <w:rFonts w:hint="eastAsia" w:eastAsia="宋体"/>
          <w:color w:val="000000" w:themeColor="text1"/>
          <w:sz w:val="24"/>
        </w:rPr>
        <w:t>理工</w:t>
      </w:r>
      <w:r>
        <w:rPr>
          <w:rFonts w:hint="eastAsia" w:eastAsia="宋体"/>
          <w:color w:val="000000" w:themeColor="text1"/>
          <w:sz w:val="24"/>
        </w:rPr>
        <w:fldChar w:fldCharType="end"/>
      </w:r>
      <w:r>
        <w:rPr>
          <w:rFonts w:hint="eastAsia" w:eastAsia="宋体"/>
          <w:color w:val="000000" w:themeColor="text1"/>
          <w:sz w:val="24"/>
        </w:rPr>
        <w:t>作，担任文化教育类报刊杂志、出版机构的专业编辑等工作，同时能够熟练地</w:t>
      </w:r>
      <w:r>
        <w:fldChar w:fldCharType="begin"/>
      </w:r>
      <w:r>
        <w:instrText xml:space="preserve"> HYPERLINK "https://www.dxsbb.com/news/list_79.html" \t "https://www.dxsbb.com/news/_blank" </w:instrText>
      </w:r>
      <w:r>
        <w:fldChar w:fldCharType="separate"/>
      </w:r>
      <w:r>
        <w:rPr>
          <w:rFonts w:hint="eastAsia" w:eastAsia="宋体"/>
          <w:color w:val="000000" w:themeColor="text1"/>
          <w:sz w:val="24"/>
        </w:rPr>
        <w:t>阅读</w:t>
      </w:r>
      <w:r>
        <w:rPr>
          <w:rFonts w:hint="eastAsia" w:eastAsia="宋体"/>
          <w:color w:val="000000" w:themeColor="text1"/>
          <w:sz w:val="24"/>
        </w:rPr>
        <w:fldChar w:fldCharType="end"/>
      </w:r>
      <w:r>
        <w:rPr>
          <w:rFonts w:hint="eastAsia" w:eastAsia="宋体"/>
          <w:color w:val="000000" w:themeColor="text1"/>
          <w:sz w:val="24"/>
        </w:rPr>
        <w:t xml:space="preserve">本学科的外文文献，成为适应国家和地方社会发展需要的德智体全面发展的复合型教育史专门人才。      </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培养优势：</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1、</w:t>
      </w:r>
      <w:r>
        <w:rPr>
          <w:rFonts w:hint="eastAsia" w:ascii="宋体" w:hAnsi="宋体" w:eastAsia="宋体" w:cs="Times New Roman"/>
          <w:color w:val="000000" w:themeColor="text1"/>
          <w:sz w:val="24"/>
        </w:rPr>
        <w:t>【免试入学，在职学习】学员满足入学条件可免试入学，在职学习提升能力，工作学习两不误；</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2、</w:t>
      </w:r>
      <w:r>
        <w:rPr>
          <w:rFonts w:hint="eastAsia" w:ascii="宋体" w:hAnsi="宋体" w:eastAsia="宋体" w:cs="Times New Roman"/>
          <w:color w:val="000000" w:themeColor="text1"/>
          <w:sz w:val="24"/>
        </w:rPr>
        <w:t>【师资雄厚】学科专业选用有丰富教学经验的师资授课，浓缩课程精华，提高申硕率；</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3、</w:t>
      </w:r>
      <w:r>
        <w:rPr>
          <w:rFonts w:hint="eastAsia" w:ascii="宋体" w:hAnsi="宋体" w:eastAsia="宋体" w:cs="Times New Roman"/>
          <w:color w:val="000000" w:themeColor="text1"/>
          <w:sz w:val="24"/>
        </w:rPr>
        <w:t>【申硕科目少】学员满足申硕条件参加全国统一同等学力申请硕士学位考试，外语+</w:t>
      </w:r>
      <w:r>
        <w:rPr>
          <w:rFonts w:hint="eastAsia" w:ascii="宋体" w:hAnsi="宋体"/>
          <w:color w:val="000000" w:themeColor="text1"/>
          <w:sz w:val="24"/>
        </w:rPr>
        <w:t>专业综合，百分制六十分及格</w:t>
      </w:r>
      <w:r>
        <w:rPr>
          <w:rFonts w:hint="eastAsia" w:ascii="宋体" w:hAnsi="宋体" w:eastAsia="宋体" w:cs="Times New Roman"/>
          <w:color w:val="000000" w:themeColor="text1"/>
          <w:sz w:val="24"/>
        </w:rPr>
        <w:t>难度较低；</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4、</w:t>
      </w:r>
      <w:r>
        <w:rPr>
          <w:rFonts w:hint="eastAsia" w:ascii="宋体" w:hAnsi="宋体" w:eastAsia="宋体" w:cs="Times New Roman"/>
          <w:color w:val="000000" w:themeColor="text1"/>
          <w:sz w:val="24"/>
        </w:rPr>
        <w:t>【</w:t>
      </w:r>
      <w:r>
        <w:rPr>
          <w:rFonts w:ascii="宋体" w:hAnsi="宋体" w:eastAsia="宋体" w:cs="Times New Roman"/>
          <w:color w:val="000000" w:themeColor="text1"/>
          <w:sz w:val="24"/>
        </w:rPr>
        <w:t>学习方式</w:t>
      </w:r>
      <w:r>
        <w:rPr>
          <w:rFonts w:hint="eastAsia" w:ascii="宋体" w:hAnsi="宋体" w:eastAsia="宋体" w:cs="Times New Roman"/>
          <w:color w:val="000000" w:themeColor="text1"/>
          <w:sz w:val="24"/>
        </w:rPr>
        <w:t>灵活】本专业</w:t>
      </w:r>
      <w:r>
        <w:rPr>
          <w:rFonts w:ascii="宋体" w:hAnsi="宋体" w:eastAsia="宋体" w:cs="Times New Roman"/>
          <w:color w:val="000000" w:themeColor="text1"/>
          <w:sz w:val="24"/>
        </w:rPr>
        <w:t>设</w:t>
      </w:r>
      <w:r>
        <w:rPr>
          <w:rFonts w:hint="eastAsia" w:eastAsia="宋体"/>
          <w:color w:val="000000" w:themeColor="text1"/>
          <w:sz w:val="24"/>
        </w:rPr>
        <w:t>线上（录播或直播）与线下讲座相结合</w:t>
      </w:r>
      <w:r>
        <w:rPr>
          <w:rFonts w:ascii="宋体" w:hAnsi="宋体" w:eastAsia="宋体" w:cs="Times New Roman"/>
          <w:color w:val="000000" w:themeColor="text1"/>
          <w:sz w:val="24"/>
        </w:rPr>
        <w:t>，学员不受时间、地域限制随时可学习，方便灵活</w:t>
      </w:r>
      <w:r>
        <w:rPr>
          <w:rFonts w:hint="eastAsia" w:ascii="宋体" w:hAnsi="宋体" w:eastAsia="宋体" w:cs="Times New Roman"/>
          <w:color w:val="000000" w:themeColor="text1"/>
          <w:sz w:val="24"/>
        </w:rPr>
        <w:t>；</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5、</w:t>
      </w:r>
      <w:r>
        <w:rPr>
          <w:rFonts w:ascii="宋体" w:hAnsi="宋体" w:eastAsia="宋体" w:cs="Times New Roman"/>
          <w:color w:val="000000" w:themeColor="text1"/>
          <w:sz w:val="24"/>
        </w:rPr>
        <w:t>【可获名校证书】拟申请硕士学位的同等学力人员具备条件后，经学校学位评定委员会批准，授予</w:t>
      </w:r>
      <w:r>
        <w:rPr>
          <w:rFonts w:ascii="宋体" w:hAnsi="宋体"/>
          <w:color w:val="000000" w:themeColor="text1"/>
          <w:sz w:val="24"/>
        </w:rPr>
        <w:t>湖北师范大学</w:t>
      </w:r>
      <w:r>
        <w:rPr>
          <w:rFonts w:ascii="宋体" w:hAnsi="宋体" w:eastAsia="宋体" w:cs="Times New Roman"/>
          <w:color w:val="000000" w:themeColor="text1"/>
          <w:sz w:val="24"/>
        </w:rPr>
        <w:t>硕士学位证书</w:t>
      </w:r>
      <w:r>
        <w:rPr>
          <w:rFonts w:hint="eastAsia" w:ascii="宋体" w:hAnsi="宋体" w:eastAsia="宋体" w:cs="Times New Roman"/>
          <w:color w:val="000000" w:themeColor="text1"/>
          <w:sz w:val="24"/>
        </w:rPr>
        <w:t>；</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6、</w:t>
      </w:r>
      <w:r>
        <w:rPr>
          <w:rFonts w:hint="eastAsia" w:ascii="宋体" w:hAnsi="宋体" w:eastAsia="宋体" w:cs="Times New Roman"/>
          <w:color w:val="000000" w:themeColor="text1"/>
          <w:sz w:val="24"/>
        </w:rPr>
        <w:t>【学知识结人脉】学习期间不定期举行课外活动，学知识结高端校友人脉。</w:t>
      </w:r>
    </w:p>
    <w:p>
      <w:pPr>
        <w:spacing w:line="360" w:lineRule="auto"/>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课程设置：</w:t>
      </w:r>
    </w:p>
    <w:p>
      <w:pPr>
        <w:rPr>
          <w:rFonts w:eastAsia="宋体"/>
          <w:b/>
          <w:bCs/>
          <w:color w:val="000000" w:themeColor="text1"/>
          <w:sz w:val="24"/>
        </w:rPr>
      </w:pPr>
    </w:p>
    <w:tbl>
      <w:tblPr>
        <w:tblStyle w:val="7"/>
        <w:tblW w:w="74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6"/>
        <w:gridCol w:w="2127"/>
        <w:gridCol w:w="2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9" w:type="dxa"/>
            <w:gridSpan w:val="3"/>
            <w:vAlign w:val="center"/>
          </w:tcPr>
          <w:p>
            <w:pPr>
              <w:pStyle w:val="5"/>
              <w:snapToGrid w:val="0"/>
              <w:spacing w:line="360" w:lineRule="auto"/>
              <w:contextualSpacing/>
              <w:jc w:val="center"/>
              <w:rPr>
                <w:rFonts w:asciiTheme="minorEastAsia" w:hAnsiTheme="minorEastAsia" w:eastAsiaTheme="minorEastAsia"/>
                <w:color w:val="000000" w:themeColor="text1"/>
              </w:rPr>
            </w:pPr>
            <w:r>
              <w:rPr>
                <w:rFonts w:hint="eastAsia" w:asciiTheme="minorEastAsia" w:hAnsiTheme="minorEastAsia" w:eastAsiaTheme="minorEastAsia"/>
                <w:b/>
                <w:bCs/>
                <w:color w:val="000000" w:themeColor="text1"/>
              </w:rPr>
              <w:t>教育史专业课程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66" w:type="dxa"/>
            <w:vAlign w:val="center"/>
          </w:tcPr>
          <w:p>
            <w:pPr>
              <w:spacing w:line="220" w:lineRule="atLeast"/>
              <w:jc w:val="center"/>
              <w:rPr>
                <w:rFonts w:hint="eastAsia"/>
                <w:color w:val="000000" w:themeColor="text1"/>
              </w:rPr>
            </w:pPr>
            <w:r>
              <w:rPr>
                <w:rFonts w:hint="eastAsia"/>
                <w:color w:val="000000" w:themeColor="text1"/>
              </w:rPr>
              <w:t>教育心理学</w:t>
            </w:r>
          </w:p>
        </w:tc>
        <w:tc>
          <w:tcPr>
            <w:tcW w:w="2127" w:type="dxa"/>
            <w:vAlign w:val="center"/>
          </w:tcPr>
          <w:p>
            <w:pPr>
              <w:spacing w:line="220" w:lineRule="atLeast"/>
              <w:jc w:val="center"/>
              <w:rPr>
                <w:rFonts w:hint="eastAsia"/>
                <w:color w:val="000000" w:themeColor="text1"/>
              </w:rPr>
            </w:pPr>
            <w:r>
              <w:rPr>
                <w:rFonts w:hint="eastAsia"/>
                <w:color w:val="000000" w:themeColor="text1"/>
              </w:rPr>
              <w:t>教育研究方法导论</w:t>
            </w:r>
          </w:p>
        </w:tc>
        <w:tc>
          <w:tcPr>
            <w:tcW w:w="2976" w:type="dxa"/>
            <w:vAlign w:val="center"/>
          </w:tcPr>
          <w:p>
            <w:pPr>
              <w:spacing w:line="220" w:lineRule="atLeast"/>
              <w:jc w:val="center"/>
              <w:rPr>
                <w:rFonts w:hint="eastAsia"/>
                <w:color w:val="000000" w:themeColor="text1"/>
              </w:rPr>
            </w:pPr>
            <w:r>
              <w:rPr>
                <w:rFonts w:hint="eastAsia"/>
                <w:color w:val="000000" w:themeColor="text1"/>
              </w:rPr>
              <w:t>中国特色社会主义理论与实践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66"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中国教育史</w:t>
            </w:r>
          </w:p>
        </w:tc>
        <w:tc>
          <w:tcPr>
            <w:tcW w:w="2127"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外国教育史</w:t>
            </w:r>
          </w:p>
        </w:tc>
        <w:tc>
          <w:tcPr>
            <w:tcW w:w="2976"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中外教育交流史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66"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比较德育论</w:t>
            </w:r>
          </w:p>
        </w:tc>
        <w:tc>
          <w:tcPr>
            <w:tcW w:w="2127"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高等教育哲学</w:t>
            </w:r>
          </w:p>
        </w:tc>
        <w:tc>
          <w:tcPr>
            <w:tcW w:w="2976" w:type="dxa"/>
            <w:vAlign w:val="center"/>
          </w:tcPr>
          <w:p>
            <w:pPr>
              <w:pStyle w:val="5"/>
              <w:snapToGrid w:val="0"/>
              <w:spacing w:line="360" w:lineRule="auto"/>
              <w:contextualSpacing/>
              <w:jc w:val="center"/>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中国教育早期现代化史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66"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olor w:val="000000" w:themeColor="text1"/>
                <w:sz w:val="21"/>
                <w:szCs w:val="21"/>
              </w:rPr>
              <w:t>中外教育文化名著精读</w:t>
            </w:r>
          </w:p>
        </w:tc>
        <w:tc>
          <w:tcPr>
            <w:tcW w:w="2127"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olor w:val="000000" w:themeColor="text1"/>
                <w:sz w:val="21"/>
                <w:szCs w:val="21"/>
              </w:rPr>
              <w:t>外国高等教育史</w:t>
            </w:r>
          </w:p>
        </w:tc>
        <w:tc>
          <w:tcPr>
            <w:tcW w:w="2976" w:type="dxa"/>
            <w:vAlign w:val="center"/>
          </w:tcPr>
          <w:p>
            <w:pPr>
              <w:jc w:val="center"/>
              <w:rPr>
                <w:rFonts w:asciiTheme="minorEastAsia" w:hAnsiTheme="minorEastAsia" w:cstheme="minorEastAsia"/>
                <w:color w:val="000000" w:themeColor="text1"/>
                <w:szCs w:val="21"/>
              </w:rPr>
            </w:pPr>
            <w:r>
              <w:rPr>
                <w:rFonts w:hint="eastAsia" w:cs="宋体" w:asciiTheme="minorEastAsia" w:hAnsiTheme="minorEastAsia"/>
                <w:color w:val="000000" w:themeColor="text1"/>
                <w:kern w:val="0"/>
                <w:szCs w:val="21"/>
              </w:rPr>
              <w:t>中国教育史专题研究</w:t>
            </w:r>
          </w:p>
        </w:tc>
      </w:tr>
    </w:tbl>
    <w:p>
      <w:pPr>
        <w:pStyle w:val="5"/>
        <w:snapToGrid w:val="0"/>
        <w:spacing w:line="360" w:lineRule="auto"/>
        <w:ind w:firstLine="2730" w:firstLineChars="1300"/>
        <w:contextualSpacing/>
        <w:rPr>
          <w:b/>
          <w:bCs/>
          <w:color w:val="000000" w:themeColor="text1"/>
        </w:rPr>
      </w:pPr>
      <w:r>
        <w:rPr>
          <w:rFonts w:hint="eastAsia" w:asciiTheme="minorEastAsia" w:hAnsiTheme="minorEastAsia" w:eastAsiaTheme="minorEastAsia"/>
          <w:color w:val="000000" w:themeColor="text1"/>
          <w:sz w:val="21"/>
          <w:szCs w:val="21"/>
        </w:rPr>
        <w:t xml:space="preserve"> 注：部分课程参照实际教学</w:t>
      </w:r>
    </w:p>
    <w:p>
      <w:pPr>
        <w:numPr>
          <w:ilvl w:val="0"/>
          <w:numId w:val="1"/>
        </w:numPr>
        <w:rPr>
          <w:rFonts w:hint="eastAsia" w:eastAsia="宋体"/>
          <w:b/>
          <w:bCs/>
          <w:color w:val="000000" w:themeColor="text1"/>
          <w:sz w:val="24"/>
        </w:rPr>
      </w:pPr>
      <w:r>
        <w:rPr>
          <w:rFonts w:hint="eastAsia" w:eastAsia="宋体"/>
          <w:b/>
          <w:bCs/>
          <w:color w:val="000000" w:themeColor="text1"/>
          <w:sz w:val="24"/>
        </w:rPr>
        <w:t>报考条件：</w:t>
      </w:r>
    </w:p>
    <w:p>
      <w:pPr>
        <w:spacing w:line="360" w:lineRule="auto"/>
        <w:ind w:firstLine="480" w:firstLineChars="200"/>
        <w:rPr>
          <w:rFonts w:eastAsia="宋体"/>
          <w:b/>
          <w:bCs/>
          <w:color w:val="000000" w:themeColor="text1"/>
          <w:sz w:val="24"/>
        </w:rPr>
      </w:pPr>
      <w:r>
        <w:rPr>
          <w:rFonts w:hint="eastAsia" w:eastAsia="宋体"/>
          <w:color w:val="000000" w:themeColor="text1"/>
          <w:sz w:val="24"/>
        </w:rPr>
        <w:t xml:space="preserve">1、拥护中华人民共和国宪法、遵守法律、法规，品行端正的在职人员。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3、具有专科学历或本科学历无学士学位者，具有两年以上工作经验，经申 请也可报读，但不能申请硕士学位。</w:t>
      </w:r>
    </w:p>
    <w:p>
      <w:pPr>
        <w:spacing w:line="360" w:lineRule="auto"/>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培养方式和学制：</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授课方式：线上（录播或直播）与线下讲座相结合</w:t>
      </w:r>
    </w:p>
    <w:p>
      <w:pPr>
        <w:spacing w:line="360" w:lineRule="auto"/>
        <w:ind w:firstLine="480" w:firstLineChars="200"/>
        <w:rPr>
          <w:rFonts w:eastAsia="宋体"/>
          <w:color w:val="000000" w:themeColor="text1"/>
          <w:sz w:val="24"/>
        </w:rPr>
      </w:pPr>
      <w:r>
        <w:rPr>
          <w:rFonts w:hint="eastAsia" w:eastAsia="宋体"/>
          <w:color w:val="000000" w:themeColor="text1"/>
          <w:sz w:val="24"/>
        </w:rPr>
        <w:t>学制：</w:t>
      </w:r>
      <w:bookmarkStart w:id="0" w:name="_GoBack"/>
      <w:r>
        <w:rPr>
          <w:rFonts w:hint="eastAsia" w:eastAsia="宋体"/>
          <w:color w:val="000000" w:themeColor="text1"/>
          <w:sz w:val="24"/>
        </w:rPr>
        <w:t>1.5-2年</w:t>
      </w:r>
      <w:bookmarkEnd w:id="0"/>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报名材料：</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1、有效身份证件、学位证书、毕业证书原件并交复印件各一份；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2、填写“湖北师范大学接受在职人员以同等学力申请硕士学位登记表；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3、已发表或出版的与申请学位专业相关的学术论文、专著或其它成果 ；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4、报名时需带同一底版近期一寸免冠照片三张。    </w:t>
      </w:r>
    </w:p>
    <w:p>
      <w:pPr>
        <w:rPr>
          <w:rFonts w:eastAsia="宋体"/>
          <w:b/>
          <w:bCs/>
          <w:color w:val="000000" w:themeColor="text1"/>
          <w:sz w:val="24"/>
        </w:rPr>
      </w:pPr>
    </w:p>
    <w:p>
      <w:pPr>
        <w:numPr>
          <w:ilvl w:val="0"/>
          <w:numId w:val="1"/>
        </w:numPr>
        <w:spacing w:line="360" w:lineRule="auto"/>
        <w:rPr>
          <w:rFonts w:eastAsia="宋体"/>
          <w:b/>
          <w:bCs/>
          <w:color w:val="000000" w:themeColor="text1"/>
          <w:sz w:val="24"/>
        </w:rPr>
      </w:pPr>
      <w:r>
        <w:rPr>
          <w:rFonts w:hint="eastAsia" w:eastAsia="宋体"/>
          <w:b/>
          <w:bCs/>
          <w:color w:val="000000" w:themeColor="text1"/>
          <w:sz w:val="24"/>
        </w:rPr>
        <w:t>报名费用：</w:t>
      </w:r>
    </w:p>
    <w:p>
      <w:pPr>
        <w:spacing w:line="360" w:lineRule="auto"/>
        <w:ind w:firstLine="480" w:firstLineChars="200"/>
        <w:rPr>
          <w:color w:val="000000" w:themeColor="text1"/>
          <w:sz w:val="24"/>
        </w:rPr>
      </w:pPr>
      <w:r>
        <w:rPr>
          <w:rFonts w:hint="eastAsia"/>
          <w:color w:val="000000" w:themeColor="text1"/>
          <w:sz w:val="24"/>
        </w:rPr>
        <w:t>1、报名注册费：500元；</w:t>
      </w:r>
    </w:p>
    <w:p>
      <w:pPr>
        <w:spacing w:line="360" w:lineRule="auto"/>
        <w:ind w:firstLine="480" w:firstLineChars="200"/>
        <w:rPr>
          <w:color w:val="000000" w:themeColor="text1"/>
          <w:sz w:val="24"/>
        </w:rPr>
      </w:pPr>
      <w:r>
        <w:rPr>
          <w:rFonts w:hint="eastAsia"/>
          <w:color w:val="000000" w:themeColor="text1"/>
          <w:sz w:val="24"/>
        </w:rPr>
        <w:t>2、学费：18000元；</w:t>
      </w:r>
    </w:p>
    <w:p>
      <w:pPr>
        <w:spacing w:line="360" w:lineRule="auto"/>
        <w:ind w:firstLine="480" w:firstLineChars="200"/>
        <w:rPr>
          <w:color w:val="000000" w:themeColor="text1"/>
          <w:sz w:val="24"/>
        </w:rPr>
      </w:pPr>
      <w:r>
        <w:rPr>
          <w:rFonts w:hint="eastAsia"/>
          <w:color w:val="000000" w:themeColor="text1"/>
          <w:sz w:val="24"/>
        </w:rPr>
        <w:t>3、增费：15500元（含：教材资料费、网课平台费、学习管理费、考务综合费、教研活动费</w:t>
      </w:r>
      <w:r>
        <w:rPr>
          <w:color w:val="000000" w:themeColor="text1"/>
          <w:sz w:val="24"/>
        </w:rPr>
        <w:t>—</w:t>
      </w:r>
      <w:r>
        <w:rPr>
          <w:rFonts w:hint="eastAsia"/>
          <w:color w:val="000000" w:themeColor="text1"/>
          <w:sz w:val="24"/>
        </w:rPr>
        <w:t>讲座、班务管理费）。</w:t>
      </w:r>
    </w:p>
    <w:p>
      <w:pPr>
        <w:spacing w:line="360" w:lineRule="auto"/>
        <w:ind w:firstLine="480" w:firstLineChars="200"/>
        <w:rPr>
          <w:color w:val="000000" w:themeColor="text1"/>
          <w:sz w:val="24"/>
        </w:rPr>
      </w:pPr>
      <w:r>
        <w:rPr>
          <w:rFonts w:hint="eastAsia"/>
          <w:color w:val="000000" w:themeColor="text1"/>
          <w:sz w:val="24"/>
        </w:rPr>
        <w:t>4、答辩费：4000元</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获取证书：</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2、满足同等学力申请硕士学位条件学员可申请申硕考试，成绩合格可获取湖北师范大学硕士学位证书，学位网可查。</w:t>
      </w:r>
    </w:p>
    <w:p>
      <w:pPr>
        <w:rPr>
          <w:rFonts w:eastAsia="宋体"/>
          <w:b/>
          <w:bCs/>
          <w:color w:val="000000" w:themeColor="text1"/>
          <w:sz w:val="24"/>
        </w:rPr>
      </w:pPr>
    </w:p>
    <w:p>
      <w:pPr>
        <w:spacing w:line="360" w:lineRule="auto"/>
        <w:rPr>
          <w:rFonts w:asciiTheme="minorEastAsia" w:hAnsiTheme="minorEastAsia" w:cstheme="minorEastAsia"/>
          <w:color w:val="000000" w:themeColor="text1"/>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0D13F7"/>
    <w:rsid w:val="00641A6B"/>
    <w:rsid w:val="00D37895"/>
    <w:rsid w:val="00EF37E8"/>
    <w:rsid w:val="029C4649"/>
    <w:rsid w:val="05FE7AC9"/>
    <w:rsid w:val="462B4F19"/>
    <w:rsid w:val="4CB869D4"/>
    <w:rsid w:val="55C86A68"/>
    <w:rsid w:val="5E78697C"/>
    <w:rsid w:val="68BB4662"/>
    <w:rsid w:val="796930ED"/>
    <w:rsid w:val="79BA3DFB"/>
    <w:rsid w:val="7D9D0D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批注框文本 Char"/>
    <w:basedOn w:val="8"/>
    <w:link w:val="2"/>
    <w:uiPriority w:val="0"/>
    <w:rPr>
      <w:rFonts w:asciiTheme="minorHAnsi" w:hAnsiTheme="minorHAnsi" w:eastAsiaTheme="minorEastAsia" w:cstheme="minorBidi"/>
      <w:kern w:val="2"/>
      <w:sz w:val="18"/>
      <w:szCs w:val="18"/>
    </w:rPr>
  </w:style>
  <w:style w:type="paragraph" w:styleId="11">
    <w:name w:val="List Paragraph"/>
    <w:basedOn w:val="1"/>
    <w:unhideWhenUsed/>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329</Words>
  <Characters>1880</Characters>
  <Lines>15</Lines>
  <Paragraphs>4</Paragraphs>
  <TotalTime>8</TotalTime>
  <ScaleCrop>false</ScaleCrop>
  <LinksUpToDate>false</LinksUpToDate>
  <CharactersWithSpaces>2205</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2021-10-27T01:34:59Z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101E36BA0337463A884E29C54EB242B0</vt:lpwstr>
  </property>
</Properties>
</file>