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964" w:firstLineChars="300"/>
        <w:rPr>
          <w:rFonts w:hint="eastAsia" w:ascii="宋体" w:hAnsi="宋体" w:eastAsia="宋体" w:cs="宋体"/>
          <w:b/>
          <w:bCs/>
          <w:sz w:val="32"/>
          <w:szCs w:val="32"/>
        </w:rPr>
      </w:pPr>
      <w:r>
        <w:rPr>
          <w:rFonts w:ascii="宋体" w:hAnsi="宋体" w:eastAsia="宋体" w:cs="宋体"/>
          <w:b/>
          <w:bCs/>
          <w:sz w:val="32"/>
          <w:szCs w:val="32"/>
        </w:rPr>
        <w:t>中南财经政法大学同等学力申硕招生简章</w:t>
      </w:r>
    </w:p>
    <w:p>
      <w:pPr>
        <w:ind w:firstLine="964" w:firstLineChars="300"/>
        <w:rPr>
          <w:rFonts w:hint="eastAsia" w:ascii="宋体" w:hAnsi="宋体" w:eastAsia="宋体" w:cs="宋体"/>
          <w:b/>
          <w:bCs/>
          <w:sz w:val="32"/>
          <w:szCs w:val="32"/>
        </w:rPr>
      </w:pPr>
    </w:p>
    <w:p>
      <w:pPr>
        <w:rPr>
          <w:rFonts w:ascii="宋体" w:hAnsi="宋体" w:eastAsia="宋体" w:cs="宋体"/>
          <w:b/>
          <w:bCs/>
          <w:sz w:val="32"/>
          <w:szCs w:val="32"/>
        </w:rPr>
      </w:pPr>
      <w:r>
        <w:rPr>
          <w:rFonts w:hint="eastAsia" w:ascii="宋体" w:hAnsi="宋体" w:eastAsia="宋体" w:cs="宋体"/>
          <w:b/>
          <w:bCs/>
          <w:sz w:val="32"/>
          <w:szCs w:val="32"/>
        </w:rPr>
        <w:t>学费：48000  学制：两年 地点：北京 上课形式：周末班</w:t>
      </w:r>
    </w:p>
    <w:p>
      <w:pPr>
        <w:rPr>
          <w:rFonts w:ascii="宋体" w:hAnsi="宋体" w:eastAsia="宋体" w:cs="宋体"/>
          <w:b/>
          <w:bCs/>
          <w:sz w:val="32"/>
          <w:szCs w:val="32"/>
        </w:rPr>
      </w:pPr>
    </w:p>
    <w:p>
      <w:pPr>
        <w:numPr>
          <w:ilvl w:val="0"/>
          <w:numId w:val="1"/>
        </w:numPr>
        <w:rPr>
          <w:rFonts w:ascii="宋体" w:hAnsi="宋体" w:eastAsia="宋体" w:cs="宋体"/>
          <w:b/>
          <w:bCs/>
          <w:sz w:val="28"/>
          <w:szCs w:val="28"/>
        </w:rPr>
      </w:pPr>
      <w:r>
        <w:rPr>
          <w:rFonts w:ascii="宋体" w:hAnsi="宋体" w:eastAsia="宋体" w:cs="宋体"/>
          <w:b/>
          <w:bCs/>
          <w:sz w:val="28"/>
          <w:szCs w:val="28"/>
        </w:rPr>
        <w:t xml:space="preserve">学校简介 </w:t>
      </w:r>
      <w:bookmarkStart w:id="0" w:name="_GoBack"/>
      <w:bookmarkEnd w:id="0"/>
    </w:p>
    <w:p>
      <w:pPr>
        <w:ind w:firstLine="560" w:firstLineChars="20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>中南财经政法大学是国家教育部直属的国家“211 工程”和“985 工程”优势学科创新平台重点 建设高校之一，入选世界一流大学和一流学科（简称“双一流”）建设高校及建设学科名单。1978 年 开始招收硕士学位研究生，是全国首批拥有硕士学位授予权的高校之一；1986 年获得博士学位授予 权，成为博士学位授予权单位。</w:t>
      </w:r>
    </w:p>
    <w:p>
      <w:pPr>
        <w:ind w:firstLine="560" w:firstLineChars="200"/>
        <w:rPr>
          <w:rFonts w:ascii="宋体" w:hAnsi="宋体" w:eastAsia="宋体" w:cs="宋体"/>
          <w:sz w:val="28"/>
          <w:szCs w:val="28"/>
        </w:rPr>
      </w:pPr>
    </w:p>
    <w:p>
      <w:pPr>
        <w:numPr>
          <w:ilvl w:val="0"/>
          <w:numId w:val="1"/>
        </w:numPr>
        <w:rPr>
          <w:rFonts w:ascii="宋体" w:hAnsi="宋体" w:eastAsia="宋体" w:cs="宋体"/>
          <w:b/>
          <w:bCs/>
          <w:sz w:val="28"/>
          <w:szCs w:val="28"/>
        </w:rPr>
      </w:pPr>
      <w:r>
        <w:rPr>
          <w:rFonts w:ascii="宋体" w:hAnsi="宋体" w:eastAsia="宋体" w:cs="宋体"/>
          <w:b/>
          <w:bCs/>
          <w:sz w:val="28"/>
          <w:szCs w:val="28"/>
        </w:rPr>
        <w:t>招生专业及学制</w:t>
      </w:r>
    </w:p>
    <w:p>
      <w:pPr>
        <w:rPr>
          <w:rFonts w:ascii="宋体" w:hAnsi="宋体" w:eastAsia="宋体" w:cs="宋体"/>
          <w:b/>
          <w:bCs/>
          <w:sz w:val="28"/>
          <w:szCs w:val="28"/>
        </w:rPr>
      </w:pPr>
      <w:r>
        <w:rPr>
          <w:rFonts w:hint="eastAsia"/>
        </w:rPr>
        <w:t xml:space="preserve">        </w:t>
      </w:r>
      <w:r>
        <w:drawing>
          <wp:inline distT="0" distB="0" distL="114300" distR="114300">
            <wp:extent cx="4297680" cy="723900"/>
            <wp:effectExtent l="0" t="0" r="762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29768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1"/>
        </w:numPr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b/>
          <w:bCs/>
          <w:sz w:val="28"/>
          <w:szCs w:val="28"/>
        </w:rPr>
        <w:t>专业优势</w:t>
      </w:r>
      <w:r>
        <w:rPr>
          <w:rFonts w:ascii="宋体" w:hAnsi="宋体" w:eastAsia="宋体" w:cs="宋体"/>
          <w:sz w:val="28"/>
          <w:szCs w:val="28"/>
        </w:rPr>
        <w:t xml:space="preserve"> </w:t>
      </w:r>
    </w:p>
    <w:p>
      <w:pPr>
        <w:numPr>
          <w:ilvl w:val="0"/>
          <w:numId w:val="2"/>
        </w:numPr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 xml:space="preserve">可先修学分，学习期满可取得中南财经政法大学课程班结业证书，五年内通过同等学力申硕考 试，可申请硕士学位证书 </w:t>
      </w:r>
    </w:p>
    <w:p>
      <w:pPr>
        <w:numPr>
          <w:ilvl w:val="0"/>
          <w:numId w:val="2"/>
        </w:numPr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 xml:space="preserve">授予经济学或理学硕士学位，学位选择较灵活 </w:t>
      </w:r>
    </w:p>
    <w:p>
      <w:pPr>
        <w:numPr>
          <w:ilvl w:val="0"/>
          <w:numId w:val="2"/>
        </w:numPr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>多数经济学硕士学位获取必须参加学科综合水平统考，考试难度大，通过率低。中南财经政法大 学统计学及金融统计仅需要参加一科英语统考，学科综合水平考试由学校自主命题</w:t>
      </w:r>
    </w:p>
    <w:p>
      <w:pPr>
        <w:rPr>
          <w:rFonts w:ascii="宋体" w:hAnsi="宋体" w:eastAsia="宋体" w:cs="宋体"/>
          <w:sz w:val="28"/>
          <w:szCs w:val="28"/>
        </w:rPr>
      </w:pPr>
    </w:p>
    <w:p>
      <w:pPr>
        <w:numPr>
          <w:ilvl w:val="0"/>
          <w:numId w:val="1"/>
        </w:numPr>
        <w:rPr>
          <w:rFonts w:ascii="宋体" w:hAnsi="宋体" w:eastAsia="宋体" w:cs="宋体"/>
          <w:b/>
          <w:bCs/>
          <w:sz w:val="28"/>
          <w:szCs w:val="28"/>
        </w:rPr>
      </w:pPr>
      <w:r>
        <w:rPr>
          <w:rFonts w:ascii="宋体" w:hAnsi="宋体" w:eastAsia="宋体" w:cs="宋体"/>
          <w:b/>
          <w:bCs/>
          <w:sz w:val="28"/>
          <w:szCs w:val="28"/>
        </w:rPr>
        <w:t xml:space="preserve">报考条件 </w:t>
      </w:r>
    </w:p>
    <w:p>
      <w:pPr>
        <w:numPr>
          <w:ilvl w:val="0"/>
          <w:numId w:val="3"/>
        </w:numPr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>已获得学士学位，并在获得学士学位后工作 3 年以上（即网上报名时，获得学士学位满 3 年者）</w:t>
      </w:r>
    </w:p>
    <w:p>
      <w:pPr>
        <w:numPr>
          <w:ilvl w:val="0"/>
          <w:numId w:val="3"/>
        </w:numPr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 xml:space="preserve">没有学士学位，但有硕士或博士学位者 </w:t>
      </w:r>
    </w:p>
    <w:p>
      <w:pPr>
        <w:numPr>
          <w:ilvl w:val="0"/>
          <w:numId w:val="3"/>
        </w:numPr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>通过教育部留学服务中心认证的国（境）外学士、硕士或博士学位获得者</w:t>
      </w:r>
    </w:p>
    <w:p>
      <w:pPr>
        <w:rPr>
          <w:rFonts w:ascii="宋体" w:hAnsi="宋体" w:eastAsia="宋体" w:cs="宋体"/>
          <w:sz w:val="28"/>
          <w:szCs w:val="28"/>
        </w:rPr>
      </w:pPr>
    </w:p>
    <w:p>
      <w:pPr>
        <w:numPr>
          <w:ilvl w:val="0"/>
          <w:numId w:val="1"/>
        </w:numPr>
        <w:rPr>
          <w:rFonts w:ascii="宋体" w:hAnsi="宋体" w:eastAsia="宋体" w:cs="宋体"/>
          <w:b/>
          <w:bCs/>
          <w:sz w:val="28"/>
          <w:szCs w:val="28"/>
        </w:rPr>
      </w:pPr>
      <w:r>
        <w:rPr>
          <w:rFonts w:ascii="宋体" w:hAnsi="宋体" w:eastAsia="宋体" w:cs="宋体"/>
          <w:b/>
          <w:bCs/>
          <w:sz w:val="28"/>
          <w:szCs w:val="28"/>
        </w:rPr>
        <w:t xml:space="preserve">报考流程 </w:t>
      </w:r>
    </w:p>
    <w:p>
      <w:pPr>
        <w:numPr>
          <w:ilvl w:val="0"/>
          <w:numId w:val="4"/>
        </w:numPr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 xml:space="preserve">学员先选择院校及专业，参加课程学习，获得院校给予的报考资格 </w:t>
      </w:r>
    </w:p>
    <w:p>
      <w:pPr>
        <w:numPr>
          <w:ilvl w:val="0"/>
          <w:numId w:val="4"/>
        </w:numPr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 xml:space="preserve">完成报考信息填写。在正式报名前，需登陆学位网，或访问“全国同等学力人员申请硕士学位管 理工作信息平台”，完成网上信息注册、个人指纹特征信息采集并通过所申请学位授予单位同等学 力人员资格审核 </w:t>
      </w:r>
    </w:p>
    <w:p>
      <w:pPr>
        <w:numPr>
          <w:ilvl w:val="0"/>
          <w:numId w:val="4"/>
        </w:numPr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 xml:space="preserve">网上报名提交申请后，考生要在规定时间内完成网上缴费，未在规定期限内缴费的人员报名无效 </w:t>
      </w:r>
    </w:p>
    <w:p>
      <w:pPr>
        <w:numPr>
          <w:ilvl w:val="0"/>
          <w:numId w:val="4"/>
        </w:numPr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 xml:space="preserve">在考前一周左右，考生需登陆信息平台下载准考证，打印并妥善保管 </w:t>
      </w:r>
    </w:p>
    <w:p>
      <w:pPr>
        <w:numPr>
          <w:ilvl w:val="0"/>
          <w:numId w:val="4"/>
        </w:numPr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>考生携带准考证及身份证参加同等学力全国统考，考试时间为每年五月中下旬</w:t>
      </w:r>
      <w:r>
        <w:rPr>
          <w:rFonts w:hint="eastAsia" w:ascii="宋体" w:hAnsi="宋体" w:eastAsia="宋体" w:cs="宋体"/>
          <w:sz w:val="28"/>
          <w:szCs w:val="28"/>
        </w:rPr>
        <w:t>。</w:t>
      </w:r>
    </w:p>
    <w:p>
      <w:pPr>
        <w:numPr>
          <w:ilvl w:val="0"/>
          <w:numId w:val="4"/>
        </w:numPr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 xml:space="preserve">论文及论文答辩。申硕考试通过，并修满学分的学员，可申请论文写作及答辩，一年内提交论 文，并在提交论文半年内申请答辩 </w:t>
      </w:r>
    </w:p>
    <w:p>
      <w:pPr>
        <w:numPr>
          <w:ilvl w:val="0"/>
          <w:numId w:val="4"/>
        </w:numPr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>获得证书。论文答辩通过后即可获得硕士学位证书</w:t>
      </w:r>
    </w:p>
    <w:p>
      <w:pPr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 xml:space="preserve"> </w:t>
      </w:r>
    </w:p>
    <w:p>
      <w:pPr>
        <w:numPr>
          <w:ilvl w:val="0"/>
          <w:numId w:val="1"/>
        </w:numPr>
        <w:rPr>
          <w:rFonts w:ascii="宋体" w:hAnsi="宋体" w:eastAsia="宋体" w:cs="宋体"/>
          <w:b/>
          <w:bCs/>
          <w:sz w:val="28"/>
          <w:szCs w:val="28"/>
        </w:rPr>
      </w:pPr>
      <w:r>
        <w:rPr>
          <w:rFonts w:ascii="宋体" w:hAnsi="宋体" w:eastAsia="宋体" w:cs="宋体"/>
          <w:b/>
          <w:bCs/>
          <w:sz w:val="28"/>
          <w:szCs w:val="28"/>
        </w:rPr>
        <w:t xml:space="preserve">报考须知 </w:t>
      </w:r>
    </w:p>
    <w:p>
      <w:pPr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 xml:space="preserve">报名时间：即日起至 3 月 1 日  </w:t>
      </w:r>
    </w:p>
    <w:p>
      <w:pPr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 xml:space="preserve">考试科目：一科为英语统考，另一科为中南财经政法大学自主命题的学科综合水平考试（考试时间 以学校通知时间为准）。 </w:t>
      </w:r>
    </w:p>
    <w:p>
      <w:pPr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 xml:space="preserve">备注：两科分值满分均为 100 分，每科成绩达到 60 分即为合格。 </w:t>
      </w:r>
    </w:p>
    <w:p>
      <w:pPr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>考试时间：2019 年 5 月 19 日（星期日）上午 9 时至 11 时 30 分，为英语水平</w:t>
      </w:r>
    </w:p>
    <w:p>
      <w:pPr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>考试时间；学科综合 水平考试时间以学校通知时间为准</w:t>
      </w:r>
    </w:p>
    <w:p>
      <w:pPr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>资料要求：蓝底二寸数码彩照；身份证原件正反面扫描件；本科毕业证和学士学位证原件扫描件</w:t>
      </w:r>
      <w:r>
        <w:rPr>
          <w:rFonts w:hint="eastAsia" w:ascii="宋体" w:hAnsi="宋体" w:eastAsia="宋体" w:cs="宋体"/>
          <w:sz w:val="28"/>
          <w:szCs w:val="28"/>
        </w:rPr>
        <w:t>。</w:t>
      </w:r>
    </w:p>
    <w:p>
      <w:pPr>
        <w:rPr>
          <w:rFonts w:ascii="宋体" w:hAnsi="宋体" w:eastAsia="宋体" w:cs="宋体"/>
          <w:b/>
          <w:bCs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w:t>七、学习费用：</w:t>
      </w:r>
    </w:p>
    <w:p>
      <w:pPr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z w:val="28"/>
          <w:szCs w:val="28"/>
        </w:rPr>
        <w:t>2年获得硕士学位，课程费及学位答辩费4.8万元，报名费及教材费1000元</w:t>
      </w:r>
      <w:r>
        <w:rPr>
          <w:rFonts w:hint="eastAsia" w:ascii="宋体" w:hAnsi="宋体" w:eastAsia="宋体" w:cs="宋体"/>
          <w:sz w:val="28"/>
          <w:szCs w:val="28"/>
        </w:rPr>
        <w:t>。</w:t>
      </w:r>
    </w:p>
    <w:p>
      <w:pPr>
        <w:ind w:firstLine="562"/>
        <w:rPr>
          <w:rFonts w:hint="eastAsia" w:ascii="宋体" w:hAnsi="宋体" w:eastAsia="宋体" w:cs="宋体"/>
          <w:b/>
          <w:bCs/>
          <w:sz w:val="28"/>
          <w:szCs w:val="28"/>
        </w:rPr>
      </w:pPr>
    </w:p>
    <w:p>
      <w:pPr>
        <w:ind w:firstLine="562"/>
        <w:rPr>
          <w:rFonts w:hint="eastAsia" w:ascii="宋体" w:hAnsi="宋体" w:eastAsia="宋体" w:cs="宋体"/>
          <w:b/>
          <w:bCs/>
          <w:sz w:val="28"/>
          <w:szCs w:val="28"/>
        </w:rPr>
      </w:pPr>
    </w:p>
    <w:p>
      <w:pPr>
        <w:ind w:firstLine="562"/>
        <w:rPr>
          <w:rFonts w:hint="eastAsia" w:ascii="宋体" w:hAnsi="宋体" w:eastAsia="宋体" w:cs="宋体"/>
          <w:b/>
          <w:bCs/>
          <w:sz w:val="28"/>
          <w:szCs w:val="28"/>
        </w:rPr>
      </w:pPr>
    </w:p>
    <w:p>
      <w:pPr>
        <w:ind w:firstLine="562"/>
        <w:rPr>
          <w:rFonts w:hint="eastAsia" w:ascii="宋体" w:hAnsi="宋体" w:eastAsia="宋体" w:cs="宋体"/>
          <w:b/>
          <w:bCs/>
          <w:sz w:val="28"/>
          <w:szCs w:val="28"/>
        </w:rPr>
      </w:pPr>
    </w:p>
    <w:p>
      <w:pPr>
        <w:ind w:firstLine="562"/>
        <w:rPr>
          <w:rFonts w:hint="eastAsia" w:ascii="宋体" w:hAnsi="宋体" w:eastAsia="宋体" w:cs="宋体"/>
          <w:b/>
          <w:bCs/>
          <w:sz w:val="28"/>
          <w:szCs w:val="28"/>
        </w:rPr>
      </w:pPr>
    </w:p>
    <w:p>
      <w:pPr>
        <w:ind w:firstLine="562"/>
        <w:rPr>
          <w:rFonts w:hint="eastAsia" w:ascii="宋体" w:hAnsi="宋体" w:eastAsia="宋体" w:cs="宋体"/>
          <w:b/>
          <w:bCs/>
          <w:sz w:val="28"/>
          <w:szCs w:val="28"/>
        </w:rPr>
      </w:pPr>
    </w:p>
    <w:p>
      <w:pPr>
        <w:ind w:firstLine="562"/>
        <w:rPr>
          <w:rFonts w:hint="eastAsia" w:ascii="宋体" w:hAnsi="宋体" w:eastAsia="宋体" w:cs="宋体"/>
          <w:b/>
          <w:bCs/>
          <w:sz w:val="28"/>
          <w:szCs w:val="28"/>
        </w:rPr>
      </w:pPr>
    </w:p>
    <w:p>
      <w:pPr>
        <w:jc w:val="center"/>
        <w:rPr>
          <w:sz w:val="36"/>
          <w:szCs w:val="36"/>
        </w:rPr>
      </w:pPr>
      <w:r>
        <w:rPr>
          <w:rFonts w:hint="eastAsia"/>
          <w:sz w:val="36"/>
          <w:szCs w:val="36"/>
        </w:rPr>
        <w:t>校方报名申请表</w:t>
      </w:r>
    </w:p>
    <w:p>
      <w:pPr>
        <w:jc w:val="left"/>
        <w:rPr>
          <w:rFonts w:eastAsia="宋体"/>
          <w:szCs w:val="21"/>
        </w:rPr>
      </w:pPr>
    </w:p>
    <w:tbl>
      <w:tblPr>
        <w:tblStyle w:val="7"/>
        <w:tblW w:w="8522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17"/>
        <w:gridCol w:w="1217"/>
        <w:gridCol w:w="1217"/>
        <w:gridCol w:w="1135"/>
        <w:gridCol w:w="1300"/>
        <w:gridCol w:w="243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6" w:hRule="atLeast"/>
        </w:trPr>
        <w:tc>
          <w:tcPr>
            <w:tcW w:w="1217" w:type="dxa"/>
          </w:tcPr>
          <w:p>
            <w:pPr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>课程全名</w:t>
            </w:r>
          </w:p>
        </w:tc>
        <w:tc>
          <w:tcPr>
            <w:tcW w:w="7305" w:type="dxa"/>
            <w:gridSpan w:val="5"/>
          </w:tcPr>
          <w:p>
            <w:pPr>
              <w:pStyle w:val="2"/>
              <w:widowControl/>
              <w:shd w:val="clear" w:color="auto" w:fill="FAFAFA"/>
              <w:spacing w:before="0" w:beforeAutospacing="0" w:after="300" w:afterAutospacing="0" w:line="525" w:lineRule="atLeast"/>
              <w:rPr>
                <w:rFonts w:hint="default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7" w:type="dxa"/>
          </w:tcPr>
          <w:p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姓   名</w:t>
            </w:r>
          </w:p>
        </w:tc>
        <w:tc>
          <w:tcPr>
            <w:tcW w:w="1217" w:type="dxa"/>
          </w:tcPr>
          <w:p>
            <w:pPr>
              <w:jc w:val="left"/>
              <w:rPr>
                <w:rFonts w:eastAsia="宋体"/>
                <w:szCs w:val="21"/>
              </w:rPr>
            </w:pPr>
          </w:p>
        </w:tc>
        <w:tc>
          <w:tcPr>
            <w:tcW w:w="1217" w:type="dxa"/>
          </w:tcPr>
          <w:p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性   别</w:t>
            </w:r>
          </w:p>
        </w:tc>
        <w:tc>
          <w:tcPr>
            <w:tcW w:w="1135" w:type="dxa"/>
          </w:tcPr>
          <w:p>
            <w:pPr>
              <w:jc w:val="left"/>
              <w:rPr>
                <w:rFonts w:eastAsia="宋体"/>
                <w:szCs w:val="21"/>
              </w:rPr>
            </w:pPr>
          </w:p>
        </w:tc>
        <w:tc>
          <w:tcPr>
            <w:tcW w:w="1300" w:type="dxa"/>
          </w:tcPr>
          <w:p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出生日期</w:t>
            </w:r>
          </w:p>
        </w:tc>
        <w:tc>
          <w:tcPr>
            <w:tcW w:w="2436" w:type="dxa"/>
          </w:tcPr>
          <w:p>
            <w:pPr>
              <w:jc w:val="left"/>
              <w:rPr>
                <w:rFonts w:eastAsia="宋体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7" w:type="dxa"/>
          </w:tcPr>
          <w:p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民   族</w:t>
            </w:r>
          </w:p>
        </w:tc>
        <w:tc>
          <w:tcPr>
            <w:tcW w:w="1217" w:type="dxa"/>
          </w:tcPr>
          <w:p>
            <w:pPr>
              <w:jc w:val="left"/>
              <w:rPr>
                <w:szCs w:val="21"/>
              </w:rPr>
            </w:pPr>
          </w:p>
        </w:tc>
        <w:tc>
          <w:tcPr>
            <w:tcW w:w="1217" w:type="dxa"/>
          </w:tcPr>
          <w:p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籍   贯</w:t>
            </w:r>
          </w:p>
        </w:tc>
        <w:tc>
          <w:tcPr>
            <w:tcW w:w="1135" w:type="dxa"/>
          </w:tcPr>
          <w:p>
            <w:pPr>
              <w:jc w:val="left"/>
              <w:rPr>
                <w:szCs w:val="21"/>
              </w:rPr>
            </w:pPr>
          </w:p>
        </w:tc>
        <w:tc>
          <w:tcPr>
            <w:tcW w:w="1300" w:type="dxa"/>
          </w:tcPr>
          <w:p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职务/职称</w:t>
            </w:r>
          </w:p>
        </w:tc>
        <w:tc>
          <w:tcPr>
            <w:tcW w:w="2436" w:type="dxa"/>
          </w:tcPr>
          <w:p>
            <w:pPr>
              <w:jc w:val="left"/>
              <w:rPr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7" w:type="dxa"/>
          </w:tcPr>
          <w:p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身份证号</w:t>
            </w:r>
          </w:p>
        </w:tc>
        <w:tc>
          <w:tcPr>
            <w:tcW w:w="3569" w:type="dxa"/>
            <w:gridSpan w:val="3"/>
          </w:tcPr>
          <w:p>
            <w:pPr>
              <w:jc w:val="left"/>
              <w:rPr>
                <w:szCs w:val="21"/>
              </w:rPr>
            </w:pPr>
          </w:p>
        </w:tc>
        <w:tc>
          <w:tcPr>
            <w:tcW w:w="1300" w:type="dxa"/>
          </w:tcPr>
          <w:p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工作年限</w:t>
            </w:r>
          </w:p>
        </w:tc>
        <w:tc>
          <w:tcPr>
            <w:tcW w:w="2436" w:type="dxa"/>
          </w:tcPr>
          <w:p>
            <w:pPr>
              <w:jc w:val="left"/>
              <w:rPr>
                <w:rFonts w:eastAsia="宋体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7" w:type="dxa"/>
            <w:vMerge w:val="restart"/>
          </w:tcPr>
          <w:p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教育程度</w:t>
            </w:r>
          </w:p>
        </w:tc>
        <w:tc>
          <w:tcPr>
            <w:tcW w:w="1217" w:type="dxa"/>
          </w:tcPr>
          <w:p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学    历</w:t>
            </w:r>
          </w:p>
        </w:tc>
        <w:tc>
          <w:tcPr>
            <w:tcW w:w="2352" w:type="dxa"/>
            <w:gridSpan w:val="2"/>
          </w:tcPr>
          <w:p>
            <w:pPr>
              <w:jc w:val="left"/>
              <w:rPr>
                <w:rFonts w:eastAsia="宋体"/>
                <w:szCs w:val="21"/>
              </w:rPr>
            </w:pPr>
          </w:p>
        </w:tc>
        <w:tc>
          <w:tcPr>
            <w:tcW w:w="1300" w:type="dxa"/>
          </w:tcPr>
          <w:p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毕业院校</w:t>
            </w:r>
          </w:p>
        </w:tc>
        <w:tc>
          <w:tcPr>
            <w:tcW w:w="2436" w:type="dxa"/>
          </w:tcPr>
          <w:p>
            <w:pPr>
              <w:jc w:val="left"/>
              <w:rPr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7" w:type="dxa"/>
            <w:vMerge w:val="continue"/>
          </w:tcPr>
          <w:p>
            <w:pPr>
              <w:jc w:val="left"/>
              <w:rPr>
                <w:szCs w:val="21"/>
              </w:rPr>
            </w:pPr>
          </w:p>
        </w:tc>
        <w:tc>
          <w:tcPr>
            <w:tcW w:w="1217" w:type="dxa"/>
          </w:tcPr>
          <w:p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学    位</w:t>
            </w:r>
          </w:p>
        </w:tc>
        <w:tc>
          <w:tcPr>
            <w:tcW w:w="2352" w:type="dxa"/>
            <w:gridSpan w:val="2"/>
          </w:tcPr>
          <w:p>
            <w:pPr>
              <w:jc w:val="left"/>
              <w:rPr>
                <w:rFonts w:eastAsia="宋体"/>
                <w:szCs w:val="21"/>
              </w:rPr>
            </w:pPr>
          </w:p>
        </w:tc>
        <w:tc>
          <w:tcPr>
            <w:tcW w:w="1300" w:type="dxa"/>
          </w:tcPr>
          <w:p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专    业</w:t>
            </w:r>
          </w:p>
        </w:tc>
        <w:tc>
          <w:tcPr>
            <w:tcW w:w="2436" w:type="dxa"/>
          </w:tcPr>
          <w:p>
            <w:pPr>
              <w:jc w:val="left"/>
              <w:rPr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7" w:type="dxa"/>
          </w:tcPr>
          <w:p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毕业时间</w:t>
            </w:r>
          </w:p>
        </w:tc>
        <w:tc>
          <w:tcPr>
            <w:tcW w:w="2434" w:type="dxa"/>
            <w:gridSpan w:val="2"/>
          </w:tcPr>
          <w:p>
            <w:pPr>
              <w:jc w:val="left"/>
              <w:rPr>
                <w:szCs w:val="21"/>
              </w:rPr>
            </w:pPr>
          </w:p>
        </w:tc>
        <w:tc>
          <w:tcPr>
            <w:tcW w:w="1135" w:type="dxa"/>
          </w:tcPr>
          <w:p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付款方式</w:t>
            </w:r>
          </w:p>
        </w:tc>
        <w:tc>
          <w:tcPr>
            <w:tcW w:w="3736" w:type="dxa"/>
            <w:gridSpan w:val="2"/>
          </w:tcPr>
          <w:p>
            <w:pPr>
              <w:ind w:firstLine="315" w:firstLineChars="150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8255</wp:posOffset>
                      </wp:positionH>
                      <wp:positionV relativeFrom="paragraph">
                        <wp:posOffset>29845</wp:posOffset>
                      </wp:positionV>
                      <wp:extent cx="124460" cy="123825"/>
                      <wp:effectExtent l="4445" t="5080" r="8255" b="8255"/>
                      <wp:wrapNone/>
                      <wp:docPr id="1" name="矩形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4460" cy="1238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bodyPr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_x0000_s1026" o:spid="_x0000_s1026" o:spt="1" style="position:absolute;left:0pt;margin-left:0.65pt;margin-top:2.35pt;height:9.75pt;width:9.8pt;z-index:251660288;mso-width-relative:page;mso-height-relative:page;" fillcolor="#FFFFFF" filled="t" stroked="t" coordsize="21600,21600" o:gfxdata="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">
                      <v:fill on="t" focussize="0,0"/>
                      <v:stroke color="#000000" joinstyle="miter"/>
                      <v:imagedata o:title=""/>
                      <o:lock v:ext="edit" aspectratio="f"/>
                    </v:rect>
                  </w:pict>
                </mc:Fallback>
              </mc:AlternateContent>
            </w:r>
            <w:r>
              <w:rPr>
                <w:rFonts w:hint="eastAsia"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761365</wp:posOffset>
                      </wp:positionH>
                      <wp:positionV relativeFrom="paragraph">
                        <wp:posOffset>29845</wp:posOffset>
                      </wp:positionV>
                      <wp:extent cx="123825" cy="123825"/>
                      <wp:effectExtent l="5080" t="5080" r="8255" b="8255"/>
                      <wp:wrapNone/>
                      <wp:docPr id="3" name="矩形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3825" cy="1238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bodyPr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_x0000_s1026" o:spid="_x0000_s1026" o:spt="1" style="position:absolute;left:0pt;margin-left:59.95pt;margin-top:2.35pt;height:9.75pt;width:9.75pt;z-index:251659264;mso-width-relative:page;mso-height-relative:page;" fillcolor="#FFFFFF" filled="t" stroked="t" coordsize="21600,21600" o:gfxdata="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">
                      <v:fill on="t" focussize="0,0"/>
                      <v:stroke color="#000000" joinstyle="miter"/>
                      <v:imagedata o:title=""/>
                      <o:lock v:ext="edit" aspectratio="f"/>
                    </v:rect>
                  </w:pict>
                </mc:Fallback>
              </mc:AlternateContent>
            </w:r>
            <w:r>
              <w:rPr>
                <w:rFonts w:hint="eastAsia"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1503680</wp:posOffset>
                      </wp:positionH>
                      <wp:positionV relativeFrom="paragraph">
                        <wp:posOffset>29845</wp:posOffset>
                      </wp:positionV>
                      <wp:extent cx="105410" cy="123825"/>
                      <wp:effectExtent l="4445" t="5080" r="12065" b="8255"/>
                      <wp:wrapNone/>
                      <wp:docPr id="4" name="矩形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05410" cy="1238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bodyPr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_x0000_s1026" o:spid="_x0000_s1026" o:spt="1" style="position:absolute;left:0pt;margin-left:118.4pt;margin-top:2.35pt;height:9.75pt;width:8.3pt;z-index:251661312;mso-width-relative:page;mso-height-relative:page;" fillcolor="#FFFFFF" filled="t" stroked="t" coordsize="21600,21600" o:gfxdata="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">
                      <v:fill on="t" focussize="0,0"/>
                      <v:stroke color="#000000" joinstyle="miter"/>
                      <v:imagedata o:title=""/>
                      <o:lock v:ext="edit" aspectratio="f"/>
                    </v:rect>
                  </w:pict>
                </mc:Fallback>
              </mc:AlternateContent>
            </w:r>
            <w:r>
              <w:rPr>
                <w:rFonts w:hint="eastAsia"/>
                <w:szCs w:val="21"/>
              </w:rPr>
              <w:t>银行汇款   现金付款   电子转账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7" w:type="dxa"/>
          </w:tcPr>
          <w:p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公司官方名称</w:t>
            </w:r>
          </w:p>
        </w:tc>
        <w:tc>
          <w:tcPr>
            <w:tcW w:w="7305" w:type="dxa"/>
            <w:gridSpan w:val="5"/>
          </w:tcPr>
          <w:p>
            <w:pPr>
              <w:jc w:val="left"/>
              <w:rPr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7" w:type="dxa"/>
          </w:tcPr>
          <w:p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电    话</w:t>
            </w:r>
          </w:p>
        </w:tc>
        <w:tc>
          <w:tcPr>
            <w:tcW w:w="3569" w:type="dxa"/>
            <w:gridSpan w:val="3"/>
          </w:tcPr>
          <w:p>
            <w:pPr>
              <w:jc w:val="left"/>
              <w:rPr>
                <w:szCs w:val="21"/>
              </w:rPr>
            </w:pPr>
          </w:p>
        </w:tc>
        <w:tc>
          <w:tcPr>
            <w:tcW w:w="1300" w:type="dxa"/>
          </w:tcPr>
          <w:p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传   真</w:t>
            </w:r>
          </w:p>
        </w:tc>
        <w:tc>
          <w:tcPr>
            <w:tcW w:w="2436" w:type="dxa"/>
          </w:tcPr>
          <w:p>
            <w:pPr>
              <w:jc w:val="left"/>
              <w:rPr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7" w:type="dxa"/>
          </w:tcPr>
          <w:p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手    机</w:t>
            </w:r>
          </w:p>
        </w:tc>
        <w:tc>
          <w:tcPr>
            <w:tcW w:w="3569" w:type="dxa"/>
            <w:gridSpan w:val="3"/>
          </w:tcPr>
          <w:p>
            <w:pPr>
              <w:widowControl/>
              <w:jc w:val="left"/>
              <w:rPr>
                <w:rFonts w:eastAsia="宋体"/>
                <w:szCs w:val="21"/>
              </w:rPr>
            </w:pPr>
          </w:p>
        </w:tc>
        <w:tc>
          <w:tcPr>
            <w:tcW w:w="1300" w:type="dxa"/>
          </w:tcPr>
          <w:p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邮   编</w:t>
            </w:r>
          </w:p>
        </w:tc>
        <w:tc>
          <w:tcPr>
            <w:tcW w:w="2436" w:type="dxa"/>
          </w:tcPr>
          <w:p>
            <w:pPr>
              <w:jc w:val="left"/>
              <w:rPr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7" w:type="dxa"/>
          </w:tcPr>
          <w:p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电子邮箱</w:t>
            </w:r>
          </w:p>
        </w:tc>
        <w:tc>
          <w:tcPr>
            <w:tcW w:w="3569" w:type="dxa"/>
            <w:gridSpan w:val="3"/>
          </w:tcPr>
          <w:p>
            <w:pPr>
              <w:jc w:val="left"/>
              <w:rPr>
                <w:rFonts w:eastAsia="宋体"/>
                <w:szCs w:val="21"/>
              </w:rPr>
            </w:pPr>
          </w:p>
        </w:tc>
        <w:tc>
          <w:tcPr>
            <w:tcW w:w="1300" w:type="dxa"/>
          </w:tcPr>
          <w:p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单位性质</w:t>
            </w:r>
          </w:p>
        </w:tc>
        <w:tc>
          <w:tcPr>
            <w:tcW w:w="2436" w:type="dxa"/>
          </w:tcPr>
          <w:p>
            <w:pPr>
              <w:jc w:val="left"/>
              <w:rPr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7" w:type="dxa"/>
          </w:tcPr>
          <w:p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通讯地址</w:t>
            </w:r>
          </w:p>
        </w:tc>
        <w:tc>
          <w:tcPr>
            <w:tcW w:w="7305" w:type="dxa"/>
            <w:gridSpan w:val="5"/>
          </w:tcPr>
          <w:p>
            <w:pPr>
              <w:jc w:val="left"/>
              <w:rPr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gridSpan w:val="6"/>
          </w:tcPr>
          <w:p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工作简历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5" w:hRule="atLeast"/>
        </w:trPr>
        <w:tc>
          <w:tcPr>
            <w:tcW w:w="8522" w:type="dxa"/>
            <w:gridSpan w:val="6"/>
          </w:tcPr>
          <w:p>
            <w:pPr>
              <w:jc w:val="left"/>
              <w:rPr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gridSpan w:val="6"/>
          </w:tcPr>
          <w:p>
            <w:pPr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学习建议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3" w:hRule="atLeast"/>
        </w:trPr>
        <w:tc>
          <w:tcPr>
            <w:tcW w:w="8522" w:type="dxa"/>
            <w:gridSpan w:val="6"/>
          </w:tcPr>
          <w:p>
            <w:pPr>
              <w:jc w:val="left"/>
              <w:rPr>
                <w:rFonts w:eastAsia="宋体"/>
                <w:szCs w:val="21"/>
              </w:rPr>
            </w:pPr>
          </w:p>
        </w:tc>
      </w:tr>
    </w:tbl>
    <w:p>
      <w:pPr>
        <w:jc w:val="left"/>
        <w:rPr>
          <w:szCs w:val="21"/>
        </w:rPr>
      </w:pPr>
    </w:p>
    <w:p>
      <w:pPr>
        <w:spacing w:line="360" w:lineRule="auto"/>
        <w:ind w:firstLine="420" w:firstLineChars="200"/>
        <w:jc w:val="left"/>
        <w:rPr>
          <w:rFonts w:ascii="宋体" w:hAnsi="宋体" w:eastAsia="宋体" w:cs="宋体"/>
          <w:szCs w:val="21"/>
        </w:rPr>
      </w:pPr>
    </w:p>
    <w:p>
      <w:pPr>
        <w:ind w:firstLine="562"/>
        <w:rPr>
          <w:rFonts w:ascii="宋体" w:hAnsi="宋体" w:eastAsia="宋体" w:cs="宋体"/>
          <w:b/>
          <w:bCs/>
          <w:sz w:val="28"/>
          <w:szCs w:val="28"/>
        </w:rPr>
      </w:pPr>
    </w:p>
    <w:p>
      <w:pPr>
        <w:ind w:firstLine="562"/>
        <w:rPr>
          <w:rFonts w:ascii="宋体" w:hAnsi="宋体" w:eastAsia="宋体" w:cs="宋体"/>
          <w:sz w:val="24"/>
        </w:rPr>
      </w:pP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8961A0A1"/>
    <w:multiLevelType w:val="singleLevel"/>
    <w:tmpl w:val="8961A0A1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DAA3FE5E"/>
    <w:multiLevelType w:val="singleLevel"/>
    <w:tmpl w:val="DAA3FE5E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E0C78123"/>
    <w:multiLevelType w:val="singleLevel"/>
    <w:tmpl w:val="E0C78123"/>
    <w:lvl w:ilvl="0" w:tentative="0">
      <w:start w:val="1"/>
      <w:numFmt w:val="decimal"/>
      <w:suff w:val="nothing"/>
      <w:lvlText w:val="%1、"/>
      <w:lvlJc w:val="left"/>
    </w:lvl>
  </w:abstractNum>
  <w:abstractNum w:abstractNumId="3">
    <w:nsid w:val="235F1DD7"/>
    <w:multiLevelType w:val="singleLevel"/>
    <w:tmpl w:val="235F1DD7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79A11E8"/>
    <w:rsid w:val="0007730E"/>
    <w:rsid w:val="001E6178"/>
    <w:rsid w:val="00304B28"/>
    <w:rsid w:val="00A73744"/>
    <w:rsid w:val="00BE0571"/>
    <w:rsid w:val="00EA661D"/>
    <w:rsid w:val="179A11E8"/>
    <w:rsid w:val="1F080F9F"/>
    <w:rsid w:val="319210F2"/>
    <w:rsid w:val="4C097563"/>
    <w:rsid w:val="796C68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13"/>
    <w:qFormat/>
    <w:uiPriority w:val="9"/>
    <w:pPr>
      <w:spacing w:before="100" w:beforeAutospacing="1" w:after="100" w:afterAutospacing="1"/>
      <w:jc w:val="left"/>
      <w:outlineLvl w:val="0"/>
    </w:pPr>
    <w:rPr>
      <w:rFonts w:hint="eastAsia" w:ascii="宋体" w:hAnsi="宋体" w:eastAsia="宋体" w:cs="Times New Roman"/>
      <w:b/>
      <w:kern w:val="44"/>
      <w:sz w:val="48"/>
      <w:szCs w:val="48"/>
    </w:rPr>
  </w:style>
  <w:style w:type="character" w:default="1" w:styleId="8">
    <w:name w:val="Default Paragraph Font"/>
    <w:semiHidden/>
    <w:unhideWhenUsed/>
    <w:uiPriority w:val="1"/>
  </w:style>
  <w:style w:type="table" w:default="1" w:styleId="7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ate"/>
    <w:basedOn w:val="1"/>
    <w:next w:val="1"/>
    <w:link w:val="12"/>
    <w:qFormat/>
    <w:uiPriority w:val="0"/>
    <w:pPr>
      <w:ind w:left="100" w:leftChars="2500"/>
    </w:pPr>
  </w:style>
  <w:style w:type="paragraph" w:styleId="4">
    <w:name w:val="Balloon Text"/>
    <w:basedOn w:val="1"/>
    <w:link w:val="9"/>
    <w:uiPriority w:val="0"/>
    <w:rPr>
      <w:sz w:val="18"/>
      <w:szCs w:val="18"/>
    </w:rPr>
  </w:style>
  <w:style w:type="paragraph" w:styleId="5">
    <w:name w:val="footer"/>
    <w:basedOn w:val="1"/>
    <w:link w:val="1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0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9">
    <w:name w:val="批注框文本 Char"/>
    <w:basedOn w:val="8"/>
    <w:link w:val="4"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0">
    <w:name w:val="页眉 Char"/>
    <w:basedOn w:val="8"/>
    <w:link w:val="6"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1">
    <w:name w:val="页脚 Char"/>
    <w:basedOn w:val="8"/>
    <w:link w:val="5"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2">
    <w:name w:val="日期 Char"/>
    <w:basedOn w:val="8"/>
    <w:link w:val="3"/>
    <w:qFormat/>
    <w:uiPriority w:val="0"/>
    <w:rPr>
      <w:rFonts w:asciiTheme="minorHAnsi" w:hAnsiTheme="minorHAnsi" w:eastAsiaTheme="minorEastAsia" w:cstheme="minorBidi"/>
      <w:kern w:val="2"/>
      <w:sz w:val="21"/>
      <w:szCs w:val="24"/>
    </w:rPr>
  </w:style>
  <w:style w:type="character" w:customStyle="1" w:styleId="13">
    <w:name w:val="标题 1 Char"/>
    <w:basedOn w:val="8"/>
    <w:link w:val="2"/>
    <w:uiPriority w:val="9"/>
    <w:rPr>
      <w:rFonts w:ascii="宋体" w:hAnsi="宋体"/>
      <w:b/>
      <w:kern w:val="44"/>
      <w:sz w:val="48"/>
      <w:szCs w:val="4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numbering" Target="numbering.xml"/><Relationship Id="rId11" Type="http://schemas.openxmlformats.org/officeDocument/2006/relationships/customXml" Target="../customXml/item1.xml"/><Relationship Id="rId10" Type="http://schemas.openxmlformats.org/officeDocument/2006/relationships/image" Target="media/image1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Sky123.Org</Company>
  <Pages>4</Pages>
  <Words>204</Words>
  <Characters>1163</Characters>
  <Lines>9</Lines>
  <Paragraphs>2</Paragraphs>
  <TotalTime>4</TotalTime>
  <ScaleCrop>false</ScaleCrop>
  <LinksUpToDate>false</LinksUpToDate>
  <CharactersWithSpaces>1365</CharactersWithSpaces>
  <Application>WPS Office_11.1.0.9208_F1E327BC-269C-435d-A152-05C5408002CA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2019-11-21T05:11:00Z</dcterms:created>
  <dc:creator>郑云凤（渠道）</dc:creator>
  <cp:lastModifiedBy>郭朋云</cp:lastModifiedBy>
  <dcterms:modified xsi:type="dcterms:W3CDTF">2019-11-26T07:10:58Z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2052-11.1.0.9208</vt:lpwstr>
  </property>
</Properties>
</file>