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74" w:rsidRDefault="00451074">
      <w:pPr>
        <w:jc w:val="center"/>
        <w:rPr>
          <w:rFonts w:ascii="楷体" w:eastAsia="楷体" w:hAnsi="楷体" w:cs="楷体"/>
          <w:b/>
          <w:bCs/>
          <w:color w:val="444444"/>
          <w:kern w:val="0"/>
          <w:sz w:val="44"/>
          <w:szCs w:val="44"/>
        </w:rPr>
      </w:pPr>
    </w:p>
    <w:p w:rsidR="00451074" w:rsidRDefault="00177FC5">
      <w:pPr>
        <w:jc w:val="center"/>
        <w:rPr>
          <w:rFonts w:ascii="华文行楷" w:eastAsia="华文行楷" w:hAnsi="华文行楷" w:cs="华文行楷"/>
          <w:b/>
          <w:bCs/>
          <w:color w:val="444444"/>
          <w:kern w:val="0"/>
          <w:sz w:val="44"/>
          <w:szCs w:val="44"/>
        </w:rPr>
      </w:pPr>
      <w:r>
        <w:rPr>
          <w:rFonts w:ascii="楷体" w:eastAsia="楷体" w:hAnsi="楷体" w:cs="楷体" w:hint="eastAsia"/>
          <w:b/>
          <w:bCs/>
          <w:color w:val="444444"/>
          <w:kern w:val="0"/>
          <w:sz w:val="44"/>
          <w:szCs w:val="44"/>
        </w:rPr>
        <w:t>中国人民大学公共管理学院</w:t>
      </w:r>
      <w:r w:rsidR="002B25E9">
        <w:rPr>
          <w:rFonts w:ascii="楷体" w:eastAsia="楷体" w:hAnsi="楷体" w:cs="楷体" w:hint="eastAsia"/>
          <w:b/>
          <w:bCs/>
          <w:color w:val="444444"/>
          <w:kern w:val="0"/>
          <w:sz w:val="44"/>
          <w:szCs w:val="44"/>
        </w:rPr>
        <w:t>房地产经济与管理专业</w:t>
      </w:r>
      <w:r w:rsidR="002B25E9">
        <w:rPr>
          <w:rFonts w:ascii="楷体" w:eastAsia="楷体" w:hAnsi="楷体" w:cs="楷体" w:hint="eastAsia"/>
          <w:b/>
          <w:bCs/>
          <w:color w:val="444444"/>
          <w:kern w:val="0"/>
          <w:sz w:val="36"/>
          <w:szCs w:val="36"/>
        </w:rPr>
        <w:t>（房地产金融投资方向）</w:t>
      </w:r>
      <w:r w:rsidR="002B25E9">
        <w:rPr>
          <w:rFonts w:ascii="华文行楷" w:eastAsia="华文行楷" w:hAnsi="华文行楷" w:cs="华文行楷" w:hint="eastAsia"/>
          <w:b/>
          <w:bCs/>
          <w:color w:val="444444"/>
          <w:kern w:val="0"/>
          <w:sz w:val="44"/>
          <w:szCs w:val="44"/>
        </w:rPr>
        <w:t>在职研究生招生简章</w:t>
      </w:r>
    </w:p>
    <w:p w:rsidR="00451074" w:rsidRPr="00177FC5" w:rsidRDefault="00177FC5" w:rsidP="00177FC5">
      <w:pPr>
        <w:ind w:firstLineChars="100" w:firstLine="440"/>
        <w:rPr>
          <w:rFonts w:ascii="华文行楷" w:eastAsia="华文行楷" w:hAnsi="华文行楷" w:cs="华文行楷"/>
          <w:b/>
          <w:bCs/>
          <w:color w:val="444444"/>
          <w:kern w:val="0"/>
          <w:sz w:val="44"/>
          <w:szCs w:val="44"/>
        </w:rPr>
      </w:pPr>
      <w:r>
        <w:rPr>
          <w:rFonts w:ascii="华文行楷" w:eastAsia="华文行楷" w:hAnsi="华文行楷" w:cs="华文行楷" w:hint="eastAsia"/>
          <w:b/>
          <w:bCs/>
          <w:color w:val="444444"/>
          <w:kern w:val="0"/>
          <w:sz w:val="44"/>
          <w:szCs w:val="44"/>
        </w:rPr>
        <w:t>学费：38000  学制：两年  地点：北京</w:t>
      </w:r>
      <w:bookmarkStart w:id="0" w:name="_GoBack"/>
      <w:bookmarkEnd w:id="0"/>
    </w:p>
    <w:p w:rsidR="00451074" w:rsidRDefault="002B25E9">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一、学院专业优势及简介</w:t>
      </w:r>
    </w:p>
    <w:p w:rsidR="00451074" w:rsidRDefault="002B25E9">
      <w:pPr>
        <w:ind w:firstLineChars="200" w:firstLine="643"/>
        <w:rPr>
          <w:rFonts w:ascii="仿宋" w:eastAsia="仿宋" w:hAnsi="仿宋"/>
          <w:b/>
          <w:bCs/>
          <w:color w:val="FF0000"/>
          <w:sz w:val="32"/>
          <w:szCs w:val="32"/>
        </w:rPr>
      </w:pPr>
      <w:r>
        <w:rPr>
          <w:rFonts w:ascii="仿宋" w:eastAsia="仿宋" w:hAnsi="仿宋" w:hint="eastAsia"/>
          <w:b/>
          <w:bCs/>
          <w:color w:val="FF0000"/>
          <w:sz w:val="32"/>
          <w:szCs w:val="32"/>
        </w:rPr>
        <w:t>★在教育部</w:t>
      </w:r>
      <w:r>
        <w:rPr>
          <w:rFonts w:ascii="仿宋" w:eastAsia="仿宋" w:hAnsi="仿宋" w:hint="eastAsia"/>
          <w:b/>
          <w:bCs/>
          <w:color w:val="FF0000"/>
          <w:sz w:val="32"/>
          <w:szCs w:val="32"/>
        </w:rPr>
        <w:t>2013</w:t>
      </w:r>
      <w:r>
        <w:rPr>
          <w:rFonts w:ascii="仿宋" w:eastAsia="仿宋" w:hAnsi="仿宋" w:hint="eastAsia"/>
          <w:b/>
          <w:bCs/>
          <w:color w:val="FF0000"/>
          <w:sz w:val="32"/>
          <w:szCs w:val="32"/>
        </w:rPr>
        <w:t>年公布的最新一轮学科评估中，排名全国第一</w:t>
      </w:r>
    </w:p>
    <w:p w:rsidR="00451074" w:rsidRDefault="002B25E9">
      <w:pPr>
        <w:ind w:firstLineChars="200" w:firstLine="643"/>
        <w:rPr>
          <w:rFonts w:ascii="仿宋" w:eastAsia="仿宋" w:hAnsi="仿宋"/>
          <w:b/>
          <w:bCs/>
          <w:color w:val="FF0000"/>
          <w:sz w:val="32"/>
          <w:szCs w:val="32"/>
        </w:rPr>
      </w:pPr>
      <w:r>
        <w:rPr>
          <w:rFonts w:ascii="仿宋" w:eastAsia="仿宋" w:hAnsi="仿宋" w:hint="eastAsia"/>
          <w:b/>
          <w:bCs/>
          <w:color w:val="FF0000"/>
          <w:sz w:val="32"/>
          <w:szCs w:val="32"/>
        </w:rPr>
        <w:t>★于</w:t>
      </w:r>
      <w:r>
        <w:rPr>
          <w:rFonts w:ascii="仿宋" w:eastAsia="仿宋" w:hAnsi="仿宋" w:hint="eastAsia"/>
          <w:b/>
          <w:bCs/>
          <w:color w:val="FF0000"/>
          <w:sz w:val="32"/>
          <w:szCs w:val="32"/>
        </w:rPr>
        <w:t>2006</w:t>
      </w:r>
      <w:r>
        <w:rPr>
          <w:rFonts w:ascii="仿宋" w:eastAsia="仿宋" w:hAnsi="仿宋" w:hint="eastAsia"/>
          <w:b/>
          <w:bCs/>
          <w:color w:val="FF0000"/>
          <w:sz w:val="32"/>
          <w:szCs w:val="32"/>
        </w:rPr>
        <w:t>年获得英国皇家特许测量师学会的专业认证</w:t>
      </w:r>
      <w:r>
        <w:rPr>
          <w:rFonts w:ascii="仿宋" w:eastAsia="仿宋" w:hAnsi="仿宋" w:hint="eastAsia"/>
          <w:b/>
          <w:bCs/>
          <w:color w:val="FF0000"/>
          <w:sz w:val="32"/>
          <w:szCs w:val="32"/>
        </w:rPr>
        <w:t>。</w:t>
      </w:r>
    </w:p>
    <w:p w:rsidR="00451074" w:rsidRDefault="002B25E9">
      <w:pPr>
        <w:ind w:firstLineChars="200" w:firstLine="643"/>
        <w:rPr>
          <w:rFonts w:ascii="仿宋" w:eastAsia="仿宋" w:hAnsi="仿宋"/>
          <w:b/>
          <w:bCs/>
          <w:color w:val="FF0000"/>
          <w:sz w:val="32"/>
          <w:szCs w:val="32"/>
        </w:rPr>
      </w:pPr>
      <w:r>
        <w:rPr>
          <w:rFonts w:ascii="仿宋" w:eastAsia="仿宋" w:hAnsi="仿宋" w:hint="eastAsia"/>
          <w:b/>
          <w:bCs/>
          <w:color w:val="FF0000"/>
          <w:sz w:val="32"/>
          <w:szCs w:val="32"/>
        </w:rPr>
        <w:t>★全国公共管理专业学位研究生教育指导委员会秘书处所在地。</w:t>
      </w:r>
    </w:p>
    <w:p w:rsidR="00451074" w:rsidRDefault="002B25E9">
      <w:pPr>
        <w:ind w:firstLineChars="200" w:firstLine="640"/>
        <w:rPr>
          <w:rFonts w:ascii="仿宋" w:eastAsia="仿宋" w:hAnsi="仿宋"/>
          <w:sz w:val="32"/>
          <w:szCs w:val="32"/>
        </w:rPr>
      </w:pPr>
      <w:r>
        <w:rPr>
          <w:rFonts w:ascii="仿宋" w:eastAsia="仿宋" w:hAnsi="仿宋" w:hint="eastAsia"/>
          <w:sz w:val="32"/>
          <w:szCs w:val="32"/>
        </w:rPr>
        <w:t>中国人民大学公共管理学院组建于</w:t>
      </w:r>
      <w:r>
        <w:rPr>
          <w:rFonts w:ascii="仿宋" w:eastAsia="仿宋" w:hAnsi="仿宋" w:hint="eastAsia"/>
          <w:sz w:val="32"/>
          <w:szCs w:val="32"/>
        </w:rPr>
        <w:t>2001</w:t>
      </w:r>
      <w:r>
        <w:rPr>
          <w:rFonts w:ascii="仿宋" w:eastAsia="仿宋" w:hAnsi="仿宋" w:hint="eastAsia"/>
          <w:sz w:val="32"/>
          <w:szCs w:val="32"/>
        </w:rPr>
        <w:t>年，经过</w:t>
      </w:r>
      <w:r>
        <w:rPr>
          <w:rFonts w:ascii="仿宋" w:eastAsia="仿宋" w:hAnsi="仿宋" w:hint="eastAsia"/>
          <w:sz w:val="32"/>
          <w:szCs w:val="32"/>
        </w:rPr>
        <w:t>15</w:t>
      </w:r>
      <w:r>
        <w:rPr>
          <w:rFonts w:ascii="仿宋" w:eastAsia="仿宋" w:hAnsi="仿宋" w:hint="eastAsia"/>
          <w:sz w:val="32"/>
          <w:szCs w:val="32"/>
        </w:rPr>
        <w:t>年的发展，已经建设成为“国内一流、世界知名”的公共管理学院。公共政策实验室，俗称决策剧场（</w:t>
      </w:r>
      <w:r>
        <w:rPr>
          <w:rFonts w:ascii="仿宋" w:eastAsia="仿宋" w:hAnsi="仿宋" w:hint="eastAsia"/>
          <w:sz w:val="32"/>
          <w:szCs w:val="32"/>
        </w:rPr>
        <w:t>Decision Theater)</w:t>
      </w:r>
      <w:r>
        <w:rPr>
          <w:rFonts w:ascii="仿宋" w:eastAsia="仿宋" w:hAnsi="仿宋" w:hint="eastAsia"/>
          <w:sz w:val="32"/>
          <w:szCs w:val="32"/>
        </w:rPr>
        <w:t>，拥有世界一流、高端的人与计算机互动技术。它通过多种感观进行第一时间的虚拟与人机互动，使决策者在视觉和听觉上身临其境，沉浸在信息之中，学院近年来与美国密歇根大学、英国约克大学、澳大利亚墨尔本大学、日本一桥大学等国外多所著名大学建立了广泛的学术交流与合作关系。</w:t>
      </w:r>
    </w:p>
    <w:p w:rsidR="00451074" w:rsidRDefault="002B25E9">
      <w:pPr>
        <w:ind w:firstLineChars="200" w:firstLine="640"/>
        <w:rPr>
          <w:rFonts w:ascii="仿宋" w:eastAsia="仿宋" w:hAnsi="仿宋"/>
          <w:sz w:val="32"/>
          <w:szCs w:val="32"/>
        </w:rPr>
      </w:pPr>
      <w:r>
        <w:rPr>
          <w:rFonts w:ascii="仿宋" w:eastAsia="仿宋" w:hAnsi="仿宋" w:hint="eastAsia"/>
          <w:sz w:val="32"/>
          <w:szCs w:val="32"/>
        </w:rPr>
        <w:t>房地产经济与管理专业于</w:t>
      </w:r>
      <w:r>
        <w:rPr>
          <w:rFonts w:ascii="仿宋" w:eastAsia="仿宋" w:hAnsi="仿宋" w:hint="eastAsia"/>
          <w:sz w:val="32"/>
          <w:szCs w:val="32"/>
        </w:rPr>
        <w:t>2006</w:t>
      </w:r>
      <w:r>
        <w:rPr>
          <w:rFonts w:ascii="仿宋" w:eastAsia="仿宋" w:hAnsi="仿宋" w:hint="eastAsia"/>
          <w:sz w:val="32"/>
          <w:szCs w:val="32"/>
        </w:rPr>
        <w:t>年获得英国皇家特许测量师学会的专业认证，主要研究</w:t>
      </w:r>
      <w:r>
        <w:rPr>
          <w:rFonts w:ascii="仿宋" w:eastAsia="仿宋" w:hAnsi="仿宋" w:hint="eastAsia"/>
          <w:sz w:val="32"/>
          <w:szCs w:val="32"/>
        </w:rPr>
        <w:t>方向是房地产经济理论、城</w:t>
      </w:r>
      <w:r>
        <w:rPr>
          <w:rFonts w:ascii="仿宋" w:eastAsia="仿宋" w:hAnsi="仿宋" w:hint="eastAsia"/>
          <w:sz w:val="32"/>
          <w:szCs w:val="32"/>
        </w:rPr>
        <w:lastRenderedPageBreak/>
        <w:t>市房地产管理、房地产投资与金融、房地产估价、房地产开发与经营、房地产市场研究。为各级土地和房地产管理部门及政策研究机构、房地产开发和经营企业、银行等金融机构、不动产咨询评估机构、高等学校及科研机构提供了房地产专业人才。</w:t>
      </w:r>
    </w:p>
    <w:p w:rsidR="00451074" w:rsidRDefault="002B25E9">
      <w:pPr>
        <w:numPr>
          <w:ilvl w:val="0"/>
          <w:numId w:val="1"/>
        </w:num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房地产金融投资方向研究领域与课程设置</w:t>
      </w:r>
    </w:p>
    <w:p w:rsidR="00451074" w:rsidRDefault="002B25E9">
      <w:pPr>
        <w:rPr>
          <w:rFonts w:ascii="仿宋" w:eastAsia="仿宋" w:hAnsi="仿宋"/>
          <w:sz w:val="28"/>
          <w:szCs w:val="28"/>
        </w:rPr>
      </w:pPr>
      <w:r>
        <w:rPr>
          <w:rFonts w:ascii="仿宋" w:eastAsia="仿宋" w:hAnsi="仿宋" w:hint="eastAsia"/>
          <w:sz w:val="24"/>
          <w:szCs w:val="24"/>
        </w:rPr>
        <w:t>根据我院</w:t>
      </w:r>
      <w:r>
        <w:rPr>
          <w:rFonts w:ascii="仿宋" w:eastAsia="仿宋" w:hAnsi="仿宋" w:hint="eastAsia"/>
          <w:sz w:val="24"/>
          <w:szCs w:val="24"/>
        </w:rPr>
        <w:t>全日制研究生</w:t>
      </w:r>
      <w:r>
        <w:rPr>
          <w:rFonts w:ascii="仿宋" w:eastAsia="仿宋" w:hAnsi="仿宋" w:hint="eastAsia"/>
          <w:sz w:val="24"/>
          <w:szCs w:val="24"/>
        </w:rPr>
        <w:t>培养方案</w:t>
      </w:r>
      <w:r>
        <w:rPr>
          <w:rFonts w:ascii="仿宋" w:eastAsia="仿宋" w:hAnsi="仿宋" w:hint="eastAsia"/>
          <w:sz w:val="24"/>
          <w:szCs w:val="24"/>
        </w:rPr>
        <w:t>学分</w:t>
      </w:r>
      <w:r>
        <w:rPr>
          <w:rFonts w:ascii="仿宋" w:eastAsia="仿宋" w:hAnsi="仿宋" w:hint="eastAsia"/>
          <w:sz w:val="24"/>
          <w:szCs w:val="24"/>
        </w:rPr>
        <w:t>要求，</w:t>
      </w:r>
      <w:r>
        <w:rPr>
          <w:rFonts w:ascii="仿宋" w:eastAsia="仿宋" w:hAnsi="仿宋" w:hint="eastAsia"/>
          <w:sz w:val="24"/>
          <w:szCs w:val="24"/>
        </w:rPr>
        <w:t>在职研究生</w:t>
      </w:r>
      <w:r>
        <w:rPr>
          <w:rFonts w:ascii="仿宋" w:eastAsia="仿宋" w:hAnsi="仿宋" w:hint="eastAsia"/>
          <w:sz w:val="24"/>
          <w:szCs w:val="24"/>
        </w:rPr>
        <w:t>开设课程包括</w:t>
      </w:r>
      <w:r>
        <w:rPr>
          <w:rFonts w:ascii="仿宋" w:eastAsia="仿宋" w:hAnsi="仿宋" w:hint="eastAsia"/>
          <w:sz w:val="28"/>
          <w:szCs w:val="28"/>
        </w:rPr>
        <w:t>：</w:t>
      </w:r>
      <w:r>
        <w:rPr>
          <w:rFonts w:ascii="仿宋" w:eastAsia="仿宋" w:hAnsi="仿宋" w:hint="eastAsia"/>
          <w:sz w:val="28"/>
          <w:szCs w:val="28"/>
        </w:rPr>
        <w:t xml:space="preserve"> </w:t>
      </w:r>
    </w:p>
    <w:tbl>
      <w:tblPr>
        <w:tblW w:w="9860" w:type="dxa"/>
        <w:jc w:val="center"/>
        <w:tblLayout w:type="fixed"/>
        <w:tblCellMar>
          <w:top w:w="15" w:type="dxa"/>
          <w:left w:w="15" w:type="dxa"/>
          <w:bottom w:w="15" w:type="dxa"/>
          <w:right w:w="15" w:type="dxa"/>
        </w:tblCellMar>
        <w:tblLook w:val="04A0" w:firstRow="1" w:lastRow="0" w:firstColumn="1" w:lastColumn="0" w:noHBand="0" w:noVBand="1"/>
      </w:tblPr>
      <w:tblGrid>
        <w:gridCol w:w="829"/>
        <w:gridCol w:w="829"/>
        <w:gridCol w:w="1198"/>
        <w:gridCol w:w="5214"/>
        <w:gridCol w:w="1071"/>
        <w:gridCol w:w="719"/>
      </w:tblGrid>
      <w:tr w:rsidR="00451074">
        <w:trPr>
          <w:trHeight w:val="583"/>
          <w:jc w:val="center"/>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451074">
            <w:pPr>
              <w:rPr>
                <w:rFonts w:ascii="宋体" w:eastAsia="宋体" w:hAnsi="宋体" w:cs="宋体"/>
                <w:b/>
                <w:color w:val="000000"/>
                <w:sz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类别</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课程名称</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课程介绍</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授课教师</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学分</w:t>
            </w:r>
          </w:p>
        </w:tc>
      </w:tr>
      <w:tr w:rsidR="00451074">
        <w:trPr>
          <w:trHeight w:val="955"/>
          <w:jc w:val="center"/>
        </w:trPr>
        <w:tc>
          <w:tcPr>
            <w:tcW w:w="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题库</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公共课</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中国特色社会主义理论与实践</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楷体" w:eastAsia="楷体" w:hAnsi="楷体" w:cs="楷体"/>
                <w:color w:val="000000"/>
                <w:kern w:val="0"/>
                <w:sz w:val="22"/>
                <w:lang w:bidi="ar"/>
              </w:rPr>
            </w:pPr>
            <w:r>
              <w:rPr>
                <w:rFonts w:ascii="楷体" w:eastAsia="楷体" w:hAnsi="楷体" w:cs="楷体" w:hint="eastAsia"/>
                <w:color w:val="000000"/>
                <w:kern w:val="0"/>
                <w:sz w:val="22"/>
                <w:lang w:bidi="ar"/>
              </w:rPr>
              <w:t>政治基础课，结合实时政治，介绍当代中国的政治发展、文化发展、经济发展和社会发展，与时俱进直面国家和社会发展的重大理论与实践课题。</w:t>
            </w:r>
          </w:p>
          <w:p w:rsidR="00451074" w:rsidRDefault="002B25E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题库考试科目</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马克思主义学院教师组</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451074">
        <w:trPr>
          <w:trHeight w:val="650"/>
          <w:jc w:val="center"/>
        </w:trPr>
        <w:tc>
          <w:tcPr>
            <w:tcW w:w="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451074">
            <w:pPr>
              <w:jc w:val="center"/>
              <w:rPr>
                <w:rFonts w:ascii="宋体" w:eastAsia="宋体" w:hAnsi="宋体" w:cs="宋体"/>
                <w:b/>
                <w:color w:val="000000"/>
                <w:sz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学科基础课</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西方经济学</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经济学基础课，申硕国考科目，系统介绍高级微观经济学、宏观经济学基本知识和分析方法。</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于 泽</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451074">
        <w:trPr>
          <w:trHeight w:val="832"/>
          <w:jc w:val="center"/>
        </w:trPr>
        <w:tc>
          <w:tcPr>
            <w:tcW w:w="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451074">
            <w:pPr>
              <w:jc w:val="center"/>
              <w:rPr>
                <w:rFonts w:ascii="宋体" w:eastAsia="宋体" w:hAnsi="宋体" w:cs="宋体"/>
                <w:b/>
                <w:color w:val="000000"/>
                <w:sz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学科基础课</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公共财政</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在基本理论基础上，将财政支出理论、财政收入理论等深化到财政政策理论和政府间的财政关系理论。</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崔 军</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孙玉栋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451074">
        <w:trPr>
          <w:trHeight w:val="1261"/>
          <w:jc w:val="center"/>
        </w:trPr>
        <w:tc>
          <w:tcPr>
            <w:tcW w:w="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451074">
            <w:pPr>
              <w:jc w:val="center"/>
              <w:rPr>
                <w:rFonts w:ascii="宋体" w:eastAsia="宋体" w:hAnsi="宋体" w:cs="宋体"/>
                <w:b/>
                <w:color w:val="000000"/>
                <w:sz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高级房地产经济学</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系统介绍房地产市场、土地市场的经典模型，包括四象限模型、单中心城市模型、李嘉图级差地租理论、三部门模型、存量</w:t>
            </w:r>
            <w:r>
              <w:rPr>
                <w:rFonts w:ascii="楷体" w:eastAsia="楷体" w:hAnsi="楷体" w:cs="楷体" w:hint="eastAsia"/>
                <w:color w:val="000000"/>
                <w:kern w:val="0"/>
                <w:sz w:val="22"/>
                <w:lang w:bidi="ar"/>
              </w:rPr>
              <w:t>-</w:t>
            </w:r>
            <w:r>
              <w:rPr>
                <w:rFonts w:ascii="楷体" w:eastAsia="楷体" w:hAnsi="楷体" w:cs="楷体" w:hint="eastAsia"/>
                <w:color w:val="000000"/>
                <w:kern w:val="0"/>
                <w:sz w:val="22"/>
                <w:lang w:bidi="ar"/>
              </w:rPr>
              <w:t>流量模型等，以及中国房地产市场和政策的实证分析。</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丰 雷</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451074">
        <w:trPr>
          <w:trHeight w:val="955"/>
          <w:jc w:val="center"/>
        </w:trPr>
        <w:tc>
          <w:tcPr>
            <w:tcW w:w="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非题库</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公共课</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马克思主义与社会科学方法论</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政治基础课，系统阐述了马克思主义社会科学研究方法的基本内容和重大指导意义，注重理论联系实际，突出问题意识。增强教学的思想性、针对性、实效性。</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马克思主义学院教师组</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451074">
        <w:trPr>
          <w:trHeight w:val="568"/>
          <w:jc w:val="center"/>
        </w:trPr>
        <w:tc>
          <w:tcPr>
            <w:tcW w:w="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451074">
            <w:pPr>
              <w:jc w:val="center"/>
              <w:rPr>
                <w:rFonts w:ascii="宋体" w:eastAsia="宋体" w:hAnsi="宋体" w:cs="宋体"/>
                <w:b/>
                <w:color w:val="000000"/>
                <w:sz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公共课</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语言基础</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语言类基础课，提高英语水平和考试水平，申硕国考科目</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外国语学院教师组</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451074">
        <w:trPr>
          <w:trHeight w:val="832"/>
          <w:jc w:val="center"/>
        </w:trPr>
        <w:tc>
          <w:tcPr>
            <w:tcW w:w="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451074">
            <w:pPr>
              <w:jc w:val="center"/>
              <w:rPr>
                <w:rFonts w:ascii="宋体" w:eastAsia="宋体" w:hAnsi="宋体" w:cs="宋体"/>
                <w:b/>
                <w:color w:val="000000"/>
                <w:sz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方法课</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论文写作规范和方法</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设计各种不同的实证研究；掌握统计分析软件</w:t>
            </w:r>
            <w:r>
              <w:rPr>
                <w:rFonts w:ascii="楷体" w:eastAsia="楷体" w:hAnsi="楷体" w:cs="楷体" w:hint="eastAsia"/>
                <w:color w:val="000000"/>
                <w:kern w:val="0"/>
                <w:sz w:val="22"/>
                <w:lang w:bidi="ar"/>
              </w:rPr>
              <w:t>SPSS</w:t>
            </w:r>
            <w:r>
              <w:rPr>
                <w:rFonts w:ascii="楷体" w:eastAsia="楷体" w:hAnsi="楷体" w:cs="楷体" w:hint="eastAsia"/>
                <w:color w:val="000000"/>
                <w:kern w:val="0"/>
                <w:sz w:val="22"/>
                <w:lang w:bidi="ar"/>
              </w:rPr>
              <w:t>等；掌握数据分析结果及撰写研究报告的方法，并达到能熟练应用的程度，为实证研究和论文写作奠定基础</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教师组</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451074">
        <w:trPr>
          <w:trHeight w:val="1261"/>
          <w:jc w:val="center"/>
        </w:trPr>
        <w:tc>
          <w:tcPr>
            <w:tcW w:w="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451074">
            <w:pPr>
              <w:jc w:val="center"/>
              <w:rPr>
                <w:rFonts w:ascii="宋体" w:eastAsia="宋体" w:hAnsi="宋体" w:cs="宋体"/>
                <w:b/>
                <w:color w:val="000000"/>
                <w:sz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方法课</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计量经济学在房地产研究中的应用</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介绍计量经济学的经典模型，以及在不动产经济学和金融学的实证研究中广泛使用的计量分析方法，包括时序模型，面板数据模型，限制因变量模型，</w:t>
            </w:r>
            <w:r>
              <w:rPr>
                <w:rFonts w:ascii="楷体" w:eastAsia="楷体" w:hAnsi="楷体" w:cs="楷体" w:hint="eastAsia"/>
                <w:color w:val="000000"/>
                <w:kern w:val="0"/>
                <w:sz w:val="22"/>
                <w:lang w:bidi="ar"/>
              </w:rPr>
              <w:t>VAR</w:t>
            </w:r>
            <w:r>
              <w:rPr>
                <w:rFonts w:ascii="楷体" w:eastAsia="楷体" w:hAnsi="楷体" w:cs="楷体" w:hint="eastAsia"/>
                <w:color w:val="000000"/>
                <w:kern w:val="0"/>
                <w:sz w:val="22"/>
                <w:lang w:bidi="ar"/>
              </w:rPr>
              <w:t>模型以及房地产特征价格模型、</w:t>
            </w:r>
            <w:r>
              <w:rPr>
                <w:rFonts w:ascii="楷体" w:eastAsia="楷体" w:hAnsi="楷体" w:cs="楷体" w:hint="eastAsia"/>
                <w:color w:val="000000"/>
                <w:kern w:val="0"/>
                <w:sz w:val="22"/>
                <w:lang w:bidi="ar"/>
              </w:rPr>
              <w:t>CAPM</w:t>
            </w:r>
            <w:r>
              <w:rPr>
                <w:rFonts w:ascii="楷体" w:eastAsia="楷体" w:hAnsi="楷体" w:cs="楷体" w:hint="eastAsia"/>
                <w:color w:val="000000"/>
                <w:kern w:val="0"/>
                <w:sz w:val="22"/>
                <w:lang w:bidi="ar"/>
              </w:rPr>
              <w:t>等。</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蒋妍</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451074">
        <w:trPr>
          <w:trHeight w:val="650"/>
          <w:jc w:val="center"/>
        </w:trPr>
        <w:tc>
          <w:tcPr>
            <w:tcW w:w="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451074">
            <w:pPr>
              <w:jc w:val="center"/>
              <w:rPr>
                <w:rFonts w:ascii="宋体" w:eastAsia="宋体" w:hAnsi="宋体" w:cs="宋体"/>
                <w:b/>
                <w:color w:val="000000"/>
                <w:sz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学科基础课</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《资本论》选读</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jc w:val="center"/>
              <w:rPr>
                <w:rFonts w:ascii="楷体" w:eastAsia="宋体" w:hAnsi="楷体" w:cs="楷体"/>
                <w:color w:val="000000"/>
                <w:sz w:val="22"/>
              </w:rPr>
            </w:pPr>
            <w:r>
              <w:rPr>
                <w:rFonts w:ascii="楷体" w:eastAsia="楷体" w:hAnsi="楷体" w:cs="楷体" w:hint="eastAsia"/>
                <w:color w:val="000000"/>
                <w:sz w:val="22"/>
              </w:rPr>
              <w:t>政治经济理论基础。研究了资本的生产过程、资本的流通过程、资本和剩余价值的具体形式等，揭示了资本主义的一般基础</w:t>
            </w:r>
            <w:r>
              <w:rPr>
                <w:rFonts w:ascii="楷体" w:eastAsia="楷体" w:hAnsi="楷体" w:cs="楷体" w:hint="eastAsia"/>
                <w:color w:val="000000"/>
                <w:sz w:val="22"/>
              </w:rPr>
              <w:t>(</w:t>
            </w:r>
            <w:r>
              <w:rPr>
                <w:rFonts w:ascii="楷体" w:eastAsia="楷体" w:hAnsi="楷体" w:cs="楷体" w:hint="eastAsia"/>
                <w:color w:val="000000"/>
                <w:sz w:val="22"/>
              </w:rPr>
              <w:t>商品经济</w:t>
            </w:r>
            <w:r>
              <w:rPr>
                <w:rFonts w:ascii="楷体" w:eastAsia="楷体" w:hAnsi="楷体" w:cs="楷体" w:hint="eastAsia"/>
                <w:color w:val="000000"/>
                <w:sz w:val="22"/>
              </w:rPr>
              <w:t>)</w:t>
            </w:r>
            <w:r>
              <w:rPr>
                <w:rFonts w:ascii="楷体" w:eastAsia="楷体" w:hAnsi="楷体" w:cs="楷体" w:hint="eastAsia"/>
                <w:color w:val="000000"/>
                <w:sz w:val="22"/>
              </w:rPr>
              <w:t>、剩余价值的秘密、资本的本质、资本主义的基本矛盾及其发展的历史趋势。</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教师组</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451074">
        <w:trPr>
          <w:trHeight w:val="1096"/>
          <w:jc w:val="center"/>
        </w:trPr>
        <w:tc>
          <w:tcPr>
            <w:tcW w:w="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451074">
            <w:pPr>
              <w:jc w:val="center"/>
              <w:rPr>
                <w:rFonts w:ascii="宋体" w:eastAsia="宋体" w:hAnsi="宋体" w:cs="宋体"/>
                <w:b/>
                <w:color w:val="000000"/>
                <w:sz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房地产政策分析与评价</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对房地产政策进行全面和系统讨论，并结合实际尝试运用政策分析原理与方法对相关政策进行评价和案例分析。内容包括：政策分析方法，城市开发和建设政策、保障房政策、房地产市场政策等讨论。</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吕 萍</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451074">
        <w:trPr>
          <w:trHeight w:val="2176"/>
          <w:jc w:val="center"/>
        </w:trPr>
        <w:tc>
          <w:tcPr>
            <w:tcW w:w="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451074">
            <w:pPr>
              <w:jc w:val="center"/>
              <w:rPr>
                <w:rFonts w:ascii="宋体" w:eastAsia="宋体" w:hAnsi="宋体" w:cs="宋体"/>
                <w:b/>
                <w:color w:val="000000"/>
                <w:sz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房地产金融创新与证券化</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Cs w:val="21"/>
                <w:lang w:bidi="ar"/>
              </w:rPr>
              <w:t>面向多元化、专业化和国际化融资渠道的房地产金融理论及实务，针对各类不动产的金融市场，金融工具和金融机构，以房地产债权和产权为基础的金融工程技术和金融衍生技术融资创新，介绍以有价证券为金融工具，以资本市场为核心的房地产证券设计、发行与融资。并结合中国的社会经济环境，全面学习中国房地产金融制度和政策，以及中国房地产金融运作。</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孟繁瑜</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451074">
        <w:trPr>
          <w:trHeight w:val="1096"/>
          <w:jc w:val="center"/>
        </w:trPr>
        <w:tc>
          <w:tcPr>
            <w:tcW w:w="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451074">
            <w:pPr>
              <w:jc w:val="center"/>
              <w:rPr>
                <w:rFonts w:ascii="宋体" w:eastAsia="宋体" w:hAnsi="宋体" w:cs="宋体"/>
                <w:b/>
                <w:color w:val="000000"/>
                <w:sz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高级房地产估价</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针对不动产估价的特点和难点，选择若干评估专题，结合案例分析深入研讨不动产估价，全面加深学生对估价的理解，提升学生运用估价理论和方法解决实际问题的能力。</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曲卫东</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451074">
        <w:trPr>
          <w:trHeight w:val="1566"/>
          <w:jc w:val="center"/>
        </w:trPr>
        <w:tc>
          <w:tcPr>
            <w:tcW w:w="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451074">
            <w:pPr>
              <w:jc w:val="center"/>
              <w:rPr>
                <w:rFonts w:ascii="宋体" w:eastAsia="宋体" w:hAnsi="宋体" w:cs="宋体"/>
                <w:b/>
                <w:color w:val="000000"/>
                <w:sz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房地产开发案例分析</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本课程从房地产开发企业微观角度入手，通过具体的案例分析，对房地产项目开发模式的合理选择、房地产项目定位与策划、房地产开发项目的可行性论证与科学决策、房地产开发建设过程中企业应注意的问题等多个方面进行分析和阐述。</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张跃松</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451074">
        <w:trPr>
          <w:trHeight w:val="1360"/>
          <w:jc w:val="center"/>
        </w:trPr>
        <w:tc>
          <w:tcPr>
            <w:tcW w:w="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451074">
            <w:pPr>
              <w:jc w:val="center"/>
              <w:rPr>
                <w:rFonts w:ascii="宋体" w:eastAsia="宋体" w:hAnsi="宋体" w:cs="宋体"/>
                <w:b/>
                <w:color w:val="000000"/>
                <w:sz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国内外不动产经济与管理前沿</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本课程的目的旨在帮助学生了解跨国的不动产交易及策略。主题包括不动产交易的制度观点</w:t>
            </w:r>
            <w:r>
              <w:rPr>
                <w:rFonts w:ascii="楷体" w:eastAsia="楷体" w:hAnsi="楷体" w:cs="楷体" w:hint="eastAsia"/>
                <w:color w:val="000000"/>
                <w:kern w:val="0"/>
                <w:sz w:val="22"/>
                <w:lang w:bidi="ar"/>
              </w:rPr>
              <w:t xml:space="preserve"> </w:t>
            </w:r>
            <w:r>
              <w:rPr>
                <w:rFonts w:ascii="楷体" w:eastAsia="楷体" w:hAnsi="楷体" w:cs="楷体" w:hint="eastAsia"/>
                <w:color w:val="000000"/>
                <w:kern w:val="0"/>
                <w:sz w:val="22"/>
                <w:lang w:bidi="ar"/>
              </w:rPr>
              <w:t>不动产交易议题及国际不动产市场的制度性特征。学生修课前对国内不动产市场以及外文期刊数据库应有初步的认识与掌握。</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郑 华</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451074">
        <w:trPr>
          <w:trHeight w:val="1360"/>
          <w:jc w:val="center"/>
        </w:trPr>
        <w:tc>
          <w:tcPr>
            <w:tcW w:w="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451074">
            <w:pPr>
              <w:jc w:val="center"/>
              <w:rPr>
                <w:rFonts w:ascii="宋体" w:eastAsia="宋体" w:hAnsi="宋体" w:cs="宋体"/>
                <w:b/>
                <w:color w:val="000000"/>
                <w:sz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选修课</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货币金融学</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包括货币和货币制度，利息和利率，金融体系概述，金融市场，金融市场机制理论，金融中介概述，存款货币银行，中央银行，货币政策等基本内容及最新进展，并结合我国实际，研讨中国的金融改革。</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黄燕芬</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451074">
        <w:trPr>
          <w:trHeight w:val="842"/>
          <w:jc w:val="center"/>
        </w:trPr>
        <w:tc>
          <w:tcPr>
            <w:tcW w:w="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451074">
            <w:pPr>
              <w:jc w:val="center"/>
              <w:rPr>
                <w:rFonts w:ascii="宋体" w:eastAsia="宋体" w:hAnsi="宋体" w:cs="宋体"/>
                <w:b/>
                <w:color w:val="000000"/>
                <w:sz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选修课</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社会主义经济理论</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lang w:bidi="ar"/>
              </w:rPr>
              <w:t>讨论社会主义经济的本质及其改革与发展问题，特别是中国特色社会主义经济理论与实践发展中的重大问题。</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陈享光</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074" w:rsidRDefault="002B25E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bl>
    <w:p w:rsidR="00451074" w:rsidRDefault="002B25E9">
      <w:pPr>
        <w:rPr>
          <w:b/>
          <w:color w:val="000000"/>
          <w:szCs w:val="21"/>
          <w:shd w:val="clear" w:color="auto" w:fill="FFFFFF"/>
        </w:rPr>
      </w:pPr>
      <w:r>
        <w:rPr>
          <w:rFonts w:hint="eastAsia"/>
          <w:b/>
        </w:rPr>
        <w:t>注：</w:t>
      </w:r>
      <w:r>
        <w:rPr>
          <w:rFonts w:hint="eastAsia"/>
          <w:b/>
          <w:color w:val="000000"/>
          <w:szCs w:val="21"/>
          <w:shd w:val="clear" w:color="auto" w:fill="FFFFFF"/>
        </w:rPr>
        <w:t>课程设置按当年最新培养方案及教学计划为准。</w:t>
      </w:r>
    </w:p>
    <w:p w:rsidR="00451074" w:rsidRDefault="00451074">
      <w:pPr>
        <w:rPr>
          <w:rFonts w:ascii="黑体" w:eastAsia="黑体" w:hAnsi="黑体" w:cs="宋体"/>
          <w:b/>
          <w:bCs/>
          <w:color w:val="444444"/>
          <w:kern w:val="0"/>
          <w:sz w:val="30"/>
          <w:szCs w:val="30"/>
        </w:rPr>
      </w:pPr>
    </w:p>
    <w:p w:rsidR="00451074" w:rsidRDefault="002B25E9">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三、主要师资简介</w:t>
      </w:r>
    </w:p>
    <w:tbl>
      <w:tblPr>
        <w:tblW w:w="882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1214"/>
        <w:gridCol w:w="3879"/>
        <w:gridCol w:w="3727"/>
      </w:tblGrid>
      <w:tr w:rsidR="00451074">
        <w:tc>
          <w:tcPr>
            <w:tcW w:w="1214" w:type="dxa"/>
            <w:tcBorders>
              <w:top w:val="single" w:sz="6" w:space="0" w:color="333333"/>
              <w:left w:val="single" w:sz="6" w:space="0" w:color="333333"/>
              <w:bottom w:val="single" w:sz="6" w:space="0" w:color="333333"/>
              <w:right w:val="single" w:sz="6" w:space="0" w:color="333333"/>
            </w:tcBorders>
            <w:tcMar>
              <w:top w:w="90" w:type="dxa"/>
              <w:left w:w="45" w:type="dxa"/>
              <w:bottom w:w="90" w:type="dxa"/>
              <w:right w:w="45" w:type="dxa"/>
            </w:tcMar>
            <w:vAlign w:val="center"/>
          </w:tcPr>
          <w:p w:rsidR="00451074" w:rsidRDefault="002B25E9">
            <w:pPr>
              <w:jc w:val="center"/>
              <w:rPr>
                <w:rFonts w:ascii="仿宋" w:eastAsia="仿宋" w:hAnsi="仿宋"/>
                <w:b/>
                <w:szCs w:val="21"/>
              </w:rPr>
            </w:pPr>
            <w:r>
              <w:rPr>
                <w:rFonts w:ascii="仿宋" w:eastAsia="仿宋" w:hAnsi="仿宋" w:hint="eastAsia"/>
                <w:b/>
                <w:szCs w:val="21"/>
              </w:rPr>
              <w:t>拟授课老师</w:t>
            </w:r>
          </w:p>
        </w:tc>
        <w:tc>
          <w:tcPr>
            <w:tcW w:w="3879" w:type="dxa"/>
            <w:tcBorders>
              <w:top w:val="single" w:sz="6" w:space="0" w:color="333333"/>
              <w:left w:val="single" w:sz="6" w:space="0" w:color="333333"/>
              <w:bottom w:val="single" w:sz="6" w:space="0" w:color="333333"/>
              <w:right w:val="single" w:sz="6" w:space="0" w:color="333333"/>
            </w:tcBorders>
            <w:tcMar>
              <w:top w:w="90" w:type="dxa"/>
              <w:left w:w="45" w:type="dxa"/>
              <w:bottom w:w="90" w:type="dxa"/>
              <w:right w:w="45" w:type="dxa"/>
            </w:tcMar>
            <w:vAlign w:val="center"/>
          </w:tcPr>
          <w:p w:rsidR="00451074" w:rsidRDefault="002B25E9">
            <w:pPr>
              <w:jc w:val="center"/>
              <w:rPr>
                <w:rFonts w:ascii="仿宋" w:eastAsia="仿宋" w:hAnsi="仿宋"/>
                <w:b/>
                <w:szCs w:val="21"/>
              </w:rPr>
            </w:pPr>
            <w:r>
              <w:rPr>
                <w:rFonts w:ascii="仿宋" w:eastAsia="仿宋" w:hAnsi="仿宋" w:hint="eastAsia"/>
                <w:b/>
                <w:szCs w:val="21"/>
              </w:rPr>
              <w:t>职称（行政兼职）</w:t>
            </w:r>
          </w:p>
        </w:tc>
        <w:tc>
          <w:tcPr>
            <w:tcW w:w="3727" w:type="dxa"/>
            <w:tcBorders>
              <w:top w:val="single" w:sz="6" w:space="0" w:color="333333"/>
              <w:left w:val="single" w:sz="6" w:space="0" w:color="333333"/>
              <w:bottom w:val="single" w:sz="6" w:space="0" w:color="333333"/>
              <w:right w:val="single" w:sz="6" w:space="0" w:color="333333"/>
            </w:tcBorders>
          </w:tcPr>
          <w:p w:rsidR="00451074" w:rsidRDefault="002B25E9">
            <w:pPr>
              <w:jc w:val="center"/>
              <w:rPr>
                <w:rFonts w:ascii="仿宋" w:eastAsia="仿宋" w:hAnsi="仿宋"/>
                <w:b/>
                <w:szCs w:val="21"/>
              </w:rPr>
            </w:pPr>
            <w:r>
              <w:rPr>
                <w:rFonts w:ascii="仿宋" w:eastAsia="仿宋" w:hAnsi="仿宋" w:hint="eastAsia"/>
                <w:b/>
                <w:szCs w:val="21"/>
              </w:rPr>
              <w:t>研究方向（领域）</w:t>
            </w:r>
          </w:p>
        </w:tc>
      </w:tr>
      <w:tr w:rsidR="00451074">
        <w:tc>
          <w:tcPr>
            <w:tcW w:w="1214" w:type="dxa"/>
            <w:tcBorders>
              <w:top w:val="single" w:sz="6" w:space="0" w:color="333333"/>
              <w:left w:val="single" w:sz="6" w:space="0" w:color="333333"/>
              <w:bottom w:val="single" w:sz="6" w:space="0" w:color="333333"/>
              <w:right w:val="single" w:sz="6" w:space="0" w:color="333333"/>
            </w:tcBorders>
            <w:tcMar>
              <w:top w:w="90" w:type="dxa"/>
              <w:left w:w="45" w:type="dxa"/>
              <w:bottom w:w="90" w:type="dxa"/>
              <w:right w:w="45" w:type="dxa"/>
            </w:tcMar>
            <w:vAlign w:val="center"/>
          </w:tcPr>
          <w:p w:rsidR="00451074" w:rsidRDefault="002B25E9">
            <w:pPr>
              <w:jc w:val="left"/>
              <w:rPr>
                <w:rFonts w:ascii="仿宋" w:eastAsia="仿宋" w:hAnsi="仿宋"/>
                <w:b/>
                <w:szCs w:val="21"/>
              </w:rPr>
            </w:pPr>
            <w:r>
              <w:rPr>
                <w:rFonts w:ascii="仿宋" w:eastAsia="仿宋" w:hAnsi="仿宋" w:hint="eastAsia"/>
                <w:szCs w:val="21"/>
              </w:rPr>
              <w:lastRenderedPageBreak/>
              <w:t>叶剑平</w:t>
            </w:r>
            <w:r>
              <w:rPr>
                <w:rFonts w:ascii="仿宋" w:eastAsia="仿宋" w:hAnsi="仿宋" w:hint="eastAsia"/>
                <w:szCs w:val="21"/>
              </w:rPr>
              <w:t xml:space="preserve">  </w:t>
            </w:r>
            <w:r>
              <w:rPr>
                <w:rFonts w:ascii="宋体" w:eastAsia="宋体" w:hAnsi="宋体" w:cs="宋体"/>
                <w:noProof/>
                <w:color w:val="444444"/>
                <w:kern w:val="0"/>
                <w:sz w:val="18"/>
                <w:szCs w:val="18"/>
              </w:rPr>
              <w:drawing>
                <wp:inline distT="0" distB="0" distL="0" distR="0">
                  <wp:extent cx="106680" cy="114300"/>
                  <wp:effectExtent l="0" t="0" r="7620" b="0"/>
                  <wp:docPr id="4" name="图片 4" descr="说明: 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http://www.rucedu.cn/uploads/allimg/150813/08-13_172920-3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879" w:type="dxa"/>
            <w:tcBorders>
              <w:top w:val="single" w:sz="6" w:space="0" w:color="333333"/>
              <w:left w:val="single" w:sz="6" w:space="0" w:color="333333"/>
              <w:bottom w:val="single" w:sz="6" w:space="0" w:color="333333"/>
              <w:right w:val="single" w:sz="6" w:space="0" w:color="333333"/>
            </w:tcBorders>
            <w:tcMar>
              <w:top w:w="90" w:type="dxa"/>
              <w:left w:w="45" w:type="dxa"/>
              <w:bottom w:w="90" w:type="dxa"/>
              <w:right w:w="45" w:type="dxa"/>
            </w:tcMar>
            <w:vAlign w:val="center"/>
          </w:tcPr>
          <w:p w:rsidR="00451074" w:rsidRDefault="002B25E9">
            <w:pPr>
              <w:jc w:val="left"/>
              <w:rPr>
                <w:rFonts w:ascii="仿宋" w:eastAsia="仿宋" w:hAnsi="仿宋"/>
                <w:szCs w:val="21"/>
              </w:rPr>
            </w:pPr>
            <w:r>
              <w:rPr>
                <w:rFonts w:ascii="仿宋" w:eastAsia="仿宋" w:hAnsi="仿宋" w:hint="eastAsia"/>
                <w:szCs w:val="21"/>
              </w:rPr>
              <w:t>教授、博士生导师、国土资源部专家委员会成员、住建部专家委员会成员</w:t>
            </w:r>
          </w:p>
        </w:tc>
        <w:tc>
          <w:tcPr>
            <w:tcW w:w="3727" w:type="dxa"/>
            <w:tcBorders>
              <w:top w:val="single" w:sz="6" w:space="0" w:color="333333"/>
              <w:left w:val="single" w:sz="6" w:space="0" w:color="333333"/>
              <w:bottom w:val="single" w:sz="6" w:space="0" w:color="333333"/>
              <w:right w:val="single" w:sz="6" w:space="0" w:color="333333"/>
            </w:tcBorders>
          </w:tcPr>
          <w:p w:rsidR="00451074" w:rsidRDefault="002B25E9">
            <w:pPr>
              <w:jc w:val="left"/>
              <w:rPr>
                <w:rFonts w:ascii="仿宋" w:eastAsia="仿宋" w:hAnsi="仿宋"/>
                <w:szCs w:val="21"/>
              </w:rPr>
            </w:pPr>
            <w:r>
              <w:rPr>
                <w:rFonts w:ascii="仿宋" w:eastAsia="仿宋" w:hAnsi="仿宋" w:hint="eastAsia"/>
                <w:szCs w:val="21"/>
              </w:rPr>
              <w:t>土地政策与制度、房地产经营管理、住房政策研究、不动产估价、房地产营销、城市经营与管理</w:t>
            </w:r>
          </w:p>
        </w:tc>
      </w:tr>
      <w:tr w:rsidR="00451074">
        <w:tc>
          <w:tcPr>
            <w:tcW w:w="1214" w:type="dxa"/>
            <w:tcBorders>
              <w:top w:val="single" w:sz="6" w:space="0" w:color="333333"/>
              <w:left w:val="single" w:sz="6" w:space="0" w:color="333333"/>
              <w:bottom w:val="single" w:sz="6" w:space="0" w:color="333333"/>
              <w:right w:val="single" w:sz="6" w:space="0" w:color="333333"/>
            </w:tcBorders>
            <w:tcMar>
              <w:top w:w="90" w:type="dxa"/>
              <w:left w:w="45" w:type="dxa"/>
              <w:bottom w:w="90" w:type="dxa"/>
              <w:right w:w="45" w:type="dxa"/>
            </w:tcMar>
            <w:vAlign w:val="center"/>
          </w:tcPr>
          <w:p w:rsidR="00451074" w:rsidRDefault="002B25E9">
            <w:pPr>
              <w:widowControl/>
              <w:spacing w:line="270" w:lineRule="atLeast"/>
              <w:jc w:val="left"/>
              <w:rPr>
                <w:rFonts w:ascii="宋体" w:eastAsia="宋体" w:hAnsi="宋体" w:cs="宋体"/>
                <w:color w:val="444444"/>
                <w:kern w:val="0"/>
                <w:sz w:val="18"/>
                <w:szCs w:val="18"/>
              </w:rPr>
            </w:pPr>
            <w:r>
              <w:rPr>
                <w:rFonts w:ascii="仿宋" w:eastAsia="仿宋" w:hAnsi="仿宋" w:hint="eastAsia"/>
                <w:szCs w:val="21"/>
              </w:rPr>
              <w:t>吕</w:t>
            </w:r>
            <w:r>
              <w:rPr>
                <w:rFonts w:ascii="仿宋" w:eastAsia="仿宋" w:hAnsi="仿宋" w:hint="eastAsia"/>
                <w:szCs w:val="21"/>
              </w:rPr>
              <w:t xml:space="preserve">  </w:t>
            </w:r>
            <w:r>
              <w:rPr>
                <w:rFonts w:ascii="仿宋" w:eastAsia="仿宋" w:hAnsi="仿宋" w:hint="eastAsia"/>
                <w:szCs w:val="21"/>
              </w:rPr>
              <w:t>萍</w:t>
            </w:r>
            <w:r>
              <w:rPr>
                <w:rFonts w:ascii="宋体" w:eastAsia="宋体" w:hAnsi="宋体" w:cs="宋体" w:hint="eastAsia"/>
                <w:color w:val="444444"/>
                <w:kern w:val="0"/>
                <w:sz w:val="18"/>
                <w:szCs w:val="18"/>
              </w:rPr>
              <w:t> </w:t>
            </w:r>
            <w:r>
              <w:rPr>
                <w:rFonts w:ascii="宋体" w:eastAsia="宋体" w:hAnsi="宋体" w:cs="宋体"/>
                <w:noProof/>
                <w:color w:val="444444"/>
                <w:kern w:val="0"/>
                <w:sz w:val="18"/>
                <w:szCs w:val="18"/>
              </w:rPr>
              <w:drawing>
                <wp:inline distT="0" distB="0" distL="0" distR="0">
                  <wp:extent cx="106680" cy="114300"/>
                  <wp:effectExtent l="0" t="0" r="7620" b="0"/>
                  <wp:docPr id="3" name="图片 3" descr="说明: 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http://www.rucedu.cn/uploads/allimg/150813/08-13_172920-3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879" w:type="dxa"/>
            <w:tcBorders>
              <w:top w:val="single" w:sz="6" w:space="0" w:color="333333"/>
              <w:left w:val="single" w:sz="6" w:space="0" w:color="333333"/>
              <w:bottom w:val="single" w:sz="6" w:space="0" w:color="333333"/>
              <w:right w:val="single" w:sz="6" w:space="0" w:color="333333"/>
            </w:tcBorders>
            <w:tcMar>
              <w:top w:w="90" w:type="dxa"/>
              <w:left w:w="45" w:type="dxa"/>
              <w:bottom w:w="90" w:type="dxa"/>
              <w:right w:w="45" w:type="dxa"/>
            </w:tcMar>
            <w:vAlign w:val="center"/>
          </w:tcPr>
          <w:p w:rsidR="00451074" w:rsidRDefault="002B25E9">
            <w:pPr>
              <w:jc w:val="left"/>
              <w:rPr>
                <w:rFonts w:ascii="仿宋" w:eastAsia="仿宋" w:hAnsi="仿宋"/>
                <w:szCs w:val="21"/>
              </w:rPr>
            </w:pPr>
            <w:r>
              <w:rPr>
                <w:rFonts w:ascii="仿宋" w:eastAsia="仿宋" w:hAnsi="仿宋" w:hint="eastAsia"/>
                <w:szCs w:val="21"/>
              </w:rPr>
              <w:t>教授、博士生导师、公共管理学院土地管理系主任、中国房地产估价师与房地产经纪人学会副会长、建设部住房政策专家委委员</w:t>
            </w:r>
          </w:p>
        </w:tc>
        <w:tc>
          <w:tcPr>
            <w:tcW w:w="3727" w:type="dxa"/>
            <w:tcBorders>
              <w:top w:val="single" w:sz="6" w:space="0" w:color="333333"/>
              <w:left w:val="single" w:sz="6" w:space="0" w:color="333333"/>
              <w:bottom w:val="single" w:sz="6" w:space="0" w:color="333333"/>
              <w:right w:val="single" w:sz="6" w:space="0" w:color="333333"/>
            </w:tcBorders>
            <w:vAlign w:val="center"/>
          </w:tcPr>
          <w:p w:rsidR="00451074" w:rsidRDefault="002B25E9">
            <w:pPr>
              <w:rPr>
                <w:rFonts w:ascii="仿宋" w:eastAsia="仿宋" w:hAnsi="仿宋"/>
                <w:szCs w:val="21"/>
              </w:rPr>
            </w:pPr>
            <w:r>
              <w:rPr>
                <w:rFonts w:ascii="仿宋" w:eastAsia="仿宋" w:hAnsi="仿宋" w:hint="eastAsia"/>
                <w:szCs w:val="21"/>
              </w:rPr>
              <w:t>房地产市场分析、城市土地与不动产管理、房地产政策分析与评估、土地政策分析与评估、城市经济与房地产市场</w:t>
            </w:r>
          </w:p>
        </w:tc>
      </w:tr>
      <w:tr w:rsidR="00451074">
        <w:tc>
          <w:tcPr>
            <w:tcW w:w="1214" w:type="dxa"/>
            <w:tcBorders>
              <w:top w:val="single" w:sz="6" w:space="0" w:color="333333"/>
              <w:left w:val="single" w:sz="6" w:space="0" w:color="333333"/>
              <w:bottom w:val="single" w:sz="6" w:space="0" w:color="333333"/>
              <w:right w:val="single" w:sz="6" w:space="0" w:color="333333"/>
            </w:tcBorders>
            <w:tcMar>
              <w:top w:w="90" w:type="dxa"/>
              <w:left w:w="45" w:type="dxa"/>
              <w:bottom w:w="90" w:type="dxa"/>
              <w:right w:w="45" w:type="dxa"/>
            </w:tcMar>
            <w:vAlign w:val="center"/>
          </w:tcPr>
          <w:p w:rsidR="00451074" w:rsidRDefault="002B25E9">
            <w:pPr>
              <w:widowControl/>
              <w:spacing w:line="270" w:lineRule="atLeast"/>
              <w:jc w:val="left"/>
              <w:rPr>
                <w:rFonts w:ascii="宋体" w:eastAsia="宋体" w:hAnsi="宋体" w:cs="宋体"/>
                <w:color w:val="444444"/>
                <w:kern w:val="0"/>
                <w:sz w:val="18"/>
                <w:szCs w:val="18"/>
              </w:rPr>
            </w:pPr>
            <w:r>
              <w:rPr>
                <w:rFonts w:ascii="仿宋" w:eastAsia="仿宋" w:hAnsi="仿宋" w:hint="eastAsia"/>
                <w:szCs w:val="21"/>
              </w:rPr>
              <w:t>孙玉栋</w:t>
            </w:r>
            <w:r>
              <w:rPr>
                <w:rFonts w:ascii="宋体" w:eastAsia="宋体" w:hAnsi="宋体" w:cs="宋体"/>
                <w:noProof/>
                <w:color w:val="444444"/>
                <w:kern w:val="0"/>
                <w:sz w:val="18"/>
                <w:szCs w:val="18"/>
              </w:rPr>
              <w:drawing>
                <wp:inline distT="0" distB="0" distL="0" distR="0">
                  <wp:extent cx="106680" cy="114300"/>
                  <wp:effectExtent l="0" t="0" r="7620" b="0"/>
                  <wp:docPr id="2" name="图片 2" descr="说明: 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http://www.rucedu.cn/uploads/allimg/150813/08-13_172920-3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879" w:type="dxa"/>
            <w:tcBorders>
              <w:top w:val="single" w:sz="6" w:space="0" w:color="333333"/>
              <w:left w:val="single" w:sz="6" w:space="0" w:color="333333"/>
              <w:bottom w:val="single" w:sz="6" w:space="0" w:color="333333"/>
              <w:right w:val="single" w:sz="6" w:space="0" w:color="333333"/>
            </w:tcBorders>
            <w:tcMar>
              <w:top w:w="90" w:type="dxa"/>
              <w:left w:w="45" w:type="dxa"/>
              <w:bottom w:w="90" w:type="dxa"/>
              <w:right w:w="45" w:type="dxa"/>
            </w:tcMar>
            <w:vAlign w:val="center"/>
          </w:tcPr>
          <w:p w:rsidR="00451074" w:rsidRDefault="002B25E9">
            <w:pPr>
              <w:jc w:val="left"/>
              <w:rPr>
                <w:rFonts w:ascii="仿宋" w:eastAsia="仿宋" w:hAnsi="仿宋"/>
                <w:szCs w:val="21"/>
              </w:rPr>
            </w:pPr>
            <w:r>
              <w:rPr>
                <w:rFonts w:ascii="仿宋" w:eastAsia="仿宋" w:hAnsi="仿宋" w:hint="eastAsia"/>
                <w:szCs w:val="21"/>
              </w:rPr>
              <w:t>教授、经济学博士学位</w:t>
            </w:r>
            <w:r>
              <w:rPr>
                <w:rFonts w:ascii="仿宋" w:eastAsia="仿宋" w:hAnsi="仿宋" w:hint="eastAsia"/>
                <w:szCs w:val="21"/>
              </w:rPr>
              <w:t>。</w:t>
            </w:r>
            <w:r>
              <w:rPr>
                <w:rFonts w:ascii="仿宋" w:eastAsia="仿宋" w:hAnsi="仿宋" w:hint="eastAsia"/>
                <w:szCs w:val="21"/>
              </w:rPr>
              <w:t>国家自然科学基金项目评审专家</w:t>
            </w:r>
            <w:r>
              <w:rPr>
                <w:rFonts w:ascii="仿宋" w:eastAsia="仿宋" w:hAnsi="仿宋" w:hint="eastAsia"/>
                <w:szCs w:val="21"/>
              </w:rPr>
              <w:t>、</w:t>
            </w:r>
            <w:r>
              <w:rPr>
                <w:rFonts w:ascii="仿宋" w:eastAsia="仿宋" w:hAnsi="仿宋" w:hint="eastAsia"/>
                <w:szCs w:val="21"/>
              </w:rPr>
              <w:t>中国博士后科学基金项目评审专家</w:t>
            </w:r>
            <w:r>
              <w:rPr>
                <w:rFonts w:ascii="仿宋" w:eastAsia="仿宋" w:hAnsi="仿宋" w:hint="eastAsia"/>
                <w:szCs w:val="21"/>
              </w:rPr>
              <w:t>、</w:t>
            </w:r>
            <w:r>
              <w:rPr>
                <w:rFonts w:ascii="仿宋" w:eastAsia="仿宋" w:hAnsi="仿宋" w:hint="eastAsia"/>
                <w:szCs w:val="21"/>
              </w:rPr>
              <w:t>企业理财顾问师（</w:t>
            </w:r>
            <w:r>
              <w:rPr>
                <w:rFonts w:ascii="仿宋" w:eastAsia="仿宋" w:hAnsi="仿宋" w:hint="eastAsia"/>
                <w:szCs w:val="21"/>
              </w:rPr>
              <w:t>CFC</w:t>
            </w:r>
            <w:r>
              <w:rPr>
                <w:rFonts w:ascii="仿宋" w:eastAsia="仿宋" w:hAnsi="仿宋" w:hint="eastAsia"/>
                <w:szCs w:val="21"/>
              </w:rPr>
              <w:t>）执业标准委员会秘书长</w:t>
            </w:r>
            <w:r>
              <w:rPr>
                <w:rFonts w:ascii="仿宋" w:eastAsia="仿宋" w:hAnsi="仿宋" w:hint="eastAsia"/>
                <w:szCs w:val="21"/>
              </w:rPr>
              <w:t>、</w:t>
            </w:r>
            <w:r>
              <w:rPr>
                <w:rFonts w:ascii="仿宋" w:eastAsia="仿宋" w:hAnsi="仿宋" w:hint="eastAsia"/>
                <w:szCs w:val="21"/>
              </w:rPr>
              <w:t>中国税收教学研究会理事</w:t>
            </w:r>
          </w:p>
        </w:tc>
        <w:tc>
          <w:tcPr>
            <w:tcW w:w="3727" w:type="dxa"/>
            <w:tcBorders>
              <w:top w:val="single" w:sz="6" w:space="0" w:color="333333"/>
              <w:left w:val="single" w:sz="6" w:space="0" w:color="333333"/>
              <w:bottom w:val="single" w:sz="6" w:space="0" w:color="333333"/>
              <w:right w:val="single" w:sz="6" w:space="0" w:color="333333"/>
            </w:tcBorders>
          </w:tcPr>
          <w:p w:rsidR="00451074" w:rsidRDefault="002B25E9">
            <w:pPr>
              <w:jc w:val="left"/>
              <w:rPr>
                <w:rFonts w:ascii="仿宋" w:eastAsia="仿宋" w:hAnsi="仿宋"/>
                <w:szCs w:val="21"/>
              </w:rPr>
            </w:pPr>
            <w:r>
              <w:rPr>
                <w:rFonts w:ascii="仿宋" w:eastAsia="仿宋" w:hAnsi="仿宋" w:hint="eastAsia"/>
                <w:szCs w:val="21"/>
              </w:rPr>
              <w:t>公共财政理论与政策</w:t>
            </w:r>
            <w:r>
              <w:rPr>
                <w:rFonts w:ascii="仿宋" w:eastAsia="仿宋" w:hAnsi="仿宋" w:hint="eastAsia"/>
                <w:szCs w:val="21"/>
              </w:rPr>
              <w:t>、</w:t>
            </w:r>
            <w:r>
              <w:rPr>
                <w:rFonts w:ascii="仿宋" w:eastAsia="仿宋" w:hAnsi="仿宋" w:hint="eastAsia"/>
                <w:szCs w:val="21"/>
              </w:rPr>
              <w:t>税收管理与筹划</w:t>
            </w:r>
            <w:r>
              <w:rPr>
                <w:rFonts w:ascii="仿宋" w:eastAsia="仿宋" w:hAnsi="仿宋" w:hint="eastAsia"/>
                <w:szCs w:val="21"/>
              </w:rPr>
              <w:t>、</w:t>
            </w:r>
            <w:r>
              <w:rPr>
                <w:rFonts w:ascii="仿宋" w:eastAsia="仿宋" w:hAnsi="仿宋" w:hint="eastAsia"/>
                <w:szCs w:val="21"/>
              </w:rPr>
              <w:t>政府财务与会计</w:t>
            </w:r>
          </w:p>
        </w:tc>
      </w:tr>
      <w:tr w:rsidR="00451074">
        <w:tc>
          <w:tcPr>
            <w:tcW w:w="1214" w:type="dxa"/>
            <w:tcBorders>
              <w:top w:val="single" w:sz="6" w:space="0" w:color="333333"/>
              <w:left w:val="single" w:sz="6" w:space="0" w:color="333333"/>
              <w:bottom w:val="single" w:sz="6" w:space="0" w:color="333333"/>
              <w:right w:val="single" w:sz="6" w:space="0" w:color="333333"/>
            </w:tcBorders>
            <w:tcMar>
              <w:top w:w="90" w:type="dxa"/>
              <w:left w:w="45" w:type="dxa"/>
              <w:bottom w:w="90" w:type="dxa"/>
              <w:right w:w="45" w:type="dxa"/>
            </w:tcMar>
            <w:vAlign w:val="center"/>
          </w:tcPr>
          <w:p w:rsidR="00451074" w:rsidRDefault="002B25E9">
            <w:pPr>
              <w:widowControl/>
              <w:spacing w:line="270" w:lineRule="atLeast"/>
              <w:jc w:val="left"/>
              <w:rPr>
                <w:rFonts w:ascii="宋体" w:eastAsia="宋体" w:hAnsi="宋体" w:cs="宋体"/>
                <w:color w:val="444444"/>
                <w:kern w:val="0"/>
                <w:sz w:val="18"/>
                <w:szCs w:val="18"/>
              </w:rPr>
            </w:pPr>
            <w:r>
              <w:rPr>
                <w:rFonts w:ascii="仿宋" w:eastAsia="仿宋" w:hAnsi="仿宋" w:hint="eastAsia"/>
                <w:szCs w:val="21"/>
              </w:rPr>
              <w:t>郑</w:t>
            </w:r>
            <w:r>
              <w:rPr>
                <w:rFonts w:ascii="仿宋" w:eastAsia="仿宋" w:hAnsi="仿宋" w:hint="eastAsia"/>
                <w:szCs w:val="21"/>
              </w:rPr>
              <w:t xml:space="preserve">  </w:t>
            </w:r>
            <w:r>
              <w:rPr>
                <w:rFonts w:ascii="仿宋" w:eastAsia="仿宋" w:hAnsi="仿宋" w:hint="eastAsia"/>
                <w:szCs w:val="21"/>
              </w:rPr>
              <w:t>华</w:t>
            </w:r>
            <w:r>
              <w:rPr>
                <w:rFonts w:ascii="宋体" w:eastAsia="宋体" w:hAnsi="宋体" w:cs="宋体" w:hint="eastAsia"/>
                <w:color w:val="444444"/>
                <w:kern w:val="0"/>
                <w:sz w:val="18"/>
                <w:szCs w:val="18"/>
              </w:rPr>
              <w:t> </w:t>
            </w:r>
            <w:r>
              <w:rPr>
                <w:rFonts w:ascii="宋体" w:eastAsia="宋体" w:hAnsi="宋体" w:cs="宋体"/>
                <w:noProof/>
                <w:color w:val="444444"/>
                <w:kern w:val="0"/>
                <w:sz w:val="18"/>
                <w:szCs w:val="18"/>
              </w:rPr>
              <w:drawing>
                <wp:inline distT="0" distB="0" distL="0" distR="0">
                  <wp:extent cx="106680" cy="114300"/>
                  <wp:effectExtent l="0" t="0" r="7620" b="0"/>
                  <wp:docPr id="1" name="图片 1" descr="说明: 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http://www.rucedu.cn/uploads/allimg/150813/08-13_172920-3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879" w:type="dxa"/>
            <w:tcBorders>
              <w:top w:val="single" w:sz="6" w:space="0" w:color="333333"/>
              <w:left w:val="single" w:sz="6" w:space="0" w:color="333333"/>
              <w:bottom w:val="single" w:sz="6" w:space="0" w:color="333333"/>
              <w:right w:val="single" w:sz="6" w:space="0" w:color="333333"/>
            </w:tcBorders>
            <w:tcMar>
              <w:top w:w="90" w:type="dxa"/>
              <w:left w:w="45" w:type="dxa"/>
              <w:bottom w:w="90" w:type="dxa"/>
              <w:right w:w="45" w:type="dxa"/>
            </w:tcMar>
            <w:vAlign w:val="center"/>
          </w:tcPr>
          <w:p w:rsidR="00451074" w:rsidRDefault="002B25E9">
            <w:pPr>
              <w:jc w:val="left"/>
              <w:rPr>
                <w:rFonts w:ascii="仿宋" w:eastAsia="仿宋" w:hAnsi="仿宋"/>
                <w:szCs w:val="21"/>
              </w:rPr>
            </w:pPr>
            <w:r>
              <w:rPr>
                <w:rFonts w:ascii="仿宋" w:eastAsia="仿宋" w:hAnsi="仿宋" w:hint="eastAsia"/>
                <w:szCs w:val="21"/>
              </w:rPr>
              <w:t>副教授、硕士生导师、著名房地产理论专家</w:t>
            </w:r>
          </w:p>
        </w:tc>
        <w:tc>
          <w:tcPr>
            <w:tcW w:w="3727" w:type="dxa"/>
            <w:tcBorders>
              <w:top w:val="single" w:sz="6" w:space="0" w:color="333333"/>
              <w:left w:val="single" w:sz="6" w:space="0" w:color="333333"/>
              <w:bottom w:val="single" w:sz="6" w:space="0" w:color="333333"/>
              <w:right w:val="single" w:sz="6" w:space="0" w:color="333333"/>
            </w:tcBorders>
          </w:tcPr>
          <w:p w:rsidR="00451074" w:rsidRDefault="002B25E9">
            <w:pPr>
              <w:jc w:val="left"/>
              <w:rPr>
                <w:rFonts w:ascii="仿宋" w:eastAsia="仿宋" w:hAnsi="仿宋"/>
                <w:szCs w:val="21"/>
              </w:rPr>
            </w:pPr>
            <w:r>
              <w:rPr>
                <w:rFonts w:ascii="仿宋" w:eastAsia="仿宋" w:hAnsi="仿宋" w:hint="eastAsia"/>
                <w:szCs w:val="21"/>
              </w:rPr>
              <w:t>土地经济理论、房地产市场、房地产金融、房地产法、房地产营销与策划、城市经济与城市规划等</w:t>
            </w:r>
          </w:p>
        </w:tc>
      </w:tr>
      <w:tr w:rsidR="00451074">
        <w:tc>
          <w:tcPr>
            <w:tcW w:w="1214" w:type="dxa"/>
            <w:tcBorders>
              <w:top w:val="single" w:sz="6" w:space="0" w:color="333333"/>
              <w:left w:val="single" w:sz="6" w:space="0" w:color="333333"/>
              <w:bottom w:val="single" w:sz="6" w:space="0" w:color="333333"/>
              <w:right w:val="single" w:sz="6" w:space="0" w:color="333333"/>
            </w:tcBorders>
            <w:tcMar>
              <w:top w:w="90" w:type="dxa"/>
              <w:left w:w="45" w:type="dxa"/>
              <w:bottom w:w="90" w:type="dxa"/>
              <w:right w:w="45" w:type="dxa"/>
            </w:tcMar>
            <w:vAlign w:val="center"/>
          </w:tcPr>
          <w:p w:rsidR="00451074" w:rsidRDefault="002B25E9">
            <w:pPr>
              <w:widowControl/>
              <w:spacing w:line="270" w:lineRule="atLeast"/>
              <w:jc w:val="left"/>
              <w:rPr>
                <w:rFonts w:ascii="宋体" w:eastAsia="宋体" w:hAnsi="宋体" w:cs="宋体"/>
                <w:color w:val="444444"/>
                <w:kern w:val="0"/>
                <w:sz w:val="18"/>
                <w:szCs w:val="18"/>
              </w:rPr>
            </w:pPr>
            <w:r>
              <w:rPr>
                <w:rFonts w:ascii="仿宋" w:eastAsia="仿宋" w:hAnsi="仿宋" w:hint="eastAsia"/>
                <w:szCs w:val="21"/>
              </w:rPr>
              <w:t>曲卫东</w:t>
            </w:r>
            <w:r>
              <w:rPr>
                <w:rFonts w:ascii="宋体" w:eastAsia="宋体" w:hAnsi="宋体" w:cs="宋体" w:hint="eastAsia"/>
                <w:szCs w:val="21"/>
              </w:rPr>
              <w:t> </w:t>
            </w:r>
          </w:p>
        </w:tc>
        <w:tc>
          <w:tcPr>
            <w:tcW w:w="3879" w:type="dxa"/>
            <w:tcBorders>
              <w:top w:val="single" w:sz="6" w:space="0" w:color="333333"/>
              <w:left w:val="single" w:sz="6" w:space="0" w:color="333333"/>
              <w:bottom w:val="single" w:sz="6" w:space="0" w:color="333333"/>
              <w:right w:val="single" w:sz="6" w:space="0" w:color="333333"/>
            </w:tcBorders>
            <w:tcMar>
              <w:top w:w="90" w:type="dxa"/>
              <w:left w:w="45" w:type="dxa"/>
              <w:bottom w:w="90" w:type="dxa"/>
              <w:right w:w="45" w:type="dxa"/>
            </w:tcMar>
            <w:vAlign w:val="center"/>
          </w:tcPr>
          <w:p w:rsidR="00451074" w:rsidRDefault="002B25E9">
            <w:pPr>
              <w:jc w:val="left"/>
              <w:rPr>
                <w:rFonts w:ascii="仿宋" w:eastAsia="仿宋" w:hAnsi="仿宋"/>
                <w:szCs w:val="21"/>
              </w:rPr>
            </w:pPr>
            <w:r>
              <w:rPr>
                <w:rFonts w:ascii="仿宋" w:eastAsia="仿宋" w:hAnsi="仿宋" w:hint="eastAsia"/>
                <w:szCs w:val="21"/>
              </w:rPr>
              <w:t>教授、博士生导师、世界华人不动产学会常务副秘书长、北京大学林肯土地政策研究中心研究员</w:t>
            </w:r>
          </w:p>
        </w:tc>
        <w:tc>
          <w:tcPr>
            <w:tcW w:w="3727" w:type="dxa"/>
            <w:tcBorders>
              <w:top w:val="single" w:sz="6" w:space="0" w:color="333333"/>
              <w:left w:val="single" w:sz="6" w:space="0" w:color="333333"/>
              <w:bottom w:val="single" w:sz="6" w:space="0" w:color="333333"/>
              <w:right w:val="single" w:sz="6" w:space="0" w:color="333333"/>
            </w:tcBorders>
          </w:tcPr>
          <w:p w:rsidR="00451074" w:rsidRDefault="002B25E9">
            <w:pPr>
              <w:jc w:val="left"/>
              <w:rPr>
                <w:rFonts w:ascii="仿宋" w:eastAsia="仿宋" w:hAnsi="仿宋"/>
                <w:szCs w:val="21"/>
              </w:rPr>
            </w:pPr>
            <w:r>
              <w:rPr>
                <w:rFonts w:ascii="仿宋" w:eastAsia="仿宋" w:hAnsi="仿宋" w:hint="eastAsia"/>
                <w:szCs w:val="21"/>
              </w:rPr>
              <w:t>不动产评估、房地产投资分析、土地信息系统、房地产投资与风险分析、房地产税收、高级房地产估价</w:t>
            </w:r>
          </w:p>
        </w:tc>
      </w:tr>
    </w:tbl>
    <w:p w:rsidR="00451074" w:rsidRPr="00177FC5" w:rsidRDefault="00451074" w:rsidP="00177FC5">
      <w:pPr>
        <w:rPr>
          <w:rFonts w:asciiTheme="majorEastAsia" w:eastAsiaTheme="majorEastAsia" w:hAnsiTheme="majorEastAsia"/>
          <w:b/>
          <w:sz w:val="28"/>
          <w:szCs w:val="28"/>
        </w:rPr>
      </w:pPr>
    </w:p>
    <w:p w:rsidR="00451074" w:rsidRDefault="002B25E9">
      <w:pPr>
        <w:rPr>
          <w:rFonts w:asciiTheme="majorEastAsia" w:eastAsiaTheme="majorEastAsia" w:hAnsiTheme="majorEastAsia"/>
          <w:b/>
          <w:sz w:val="28"/>
          <w:szCs w:val="28"/>
        </w:rPr>
      </w:pPr>
      <w:r>
        <w:rPr>
          <w:rFonts w:asciiTheme="majorEastAsia" w:eastAsiaTheme="majorEastAsia" w:hAnsiTheme="majorEastAsia" w:hint="eastAsia"/>
          <w:b/>
          <w:sz w:val="28"/>
          <w:szCs w:val="28"/>
        </w:rPr>
        <w:t>五、培养方式</w:t>
      </w:r>
    </w:p>
    <w:p w:rsidR="00451074" w:rsidRDefault="002B25E9">
      <w:pPr>
        <w:ind w:leftChars="170" w:left="368" w:hangingChars="4" w:hanging="11"/>
        <w:rPr>
          <w:rFonts w:asciiTheme="majorEastAsia" w:eastAsiaTheme="majorEastAsia" w:hAnsiTheme="majorEastAsia"/>
          <w:b/>
          <w:sz w:val="28"/>
          <w:szCs w:val="28"/>
        </w:rPr>
      </w:pP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、学制：课程研修班学制两年，采取面授与自学相结合的方式。</w:t>
      </w:r>
      <w:r>
        <w:rPr>
          <w:rFonts w:asciiTheme="majorEastAsia" w:eastAsiaTheme="majorEastAsia" w:hAnsiTheme="majorEastAsia" w:cs="Arial" w:hint="eastAsia"/>
          <w:sz w:val="28"/>
          <w:szCs w:val="28"/>
        </w:rPr>
        <w:t xml:space="preserve"> </w:t>
      </w:r>
      <w:r>
        <w:rPr>
          <w:rFonts w:asciiTheme="majorEastAsia" w:eastAsiaTheme="majorEastAsia" w:hAnsiTheme="majorEastAsia" w:cs="Arial" w:hint="eastAsia"/>
          <w:sz w:val="28"/>
          <w:szCs w:val="28"/>
        </w:rPr>
        <w:br/>
        <w:t>2</w:t>
      </w:r>
      <w:r>
        <w:rPr>
          <w:rFonts w:asciiTheme="majorEastAsia" w:eastAsiaTheme="majorEastAsia" w:hAnsiTheme="majorEastAsia" w:cs="Arial" w:hint="eastAsia"/>
          <w:sz w:val="28"/>
          <w:szCs w:val="28"/>
        </w:rPr>
        <w:t>、考试：国家统考每年一次，学校题库考试每年两次，学院非题库考试统一安排。</w:t>
      </w:r>
      <w:r>
        <w:rPr>
          <w:rFonts w:asciiTheme="majorEastAsia" w:eastAsiaTheme="majorEastAsia" w:hAnsiTheme="majorEastAsia" w:cs="Arial" w:hint="eastAsia"/>
          <w:sz w:val="28"/>
          <w:szCs w:val="28"/>
        </w:rPr>
        <w:br/>
        <w:t>3</w:t>
      </w:r>
      <w:r>
        <w:rPr>
          <w:rFonts w:asciiTheme="majorEastAsia" w:eastAsiaTheme="majorEastAsia" w:hAnsiTheme="majorEastAsia" w:cs="Arial" w:hint="eastAsia"/>
          <w:sz w:val="28"/>
          <w:szCs w:val="28"/>
        </w:rPr>
        <w:t>、考试资格：学士学位满三年后，可申请</w:t>
      </w:r>
      <w:r>
        <w:rPr>
          <w:rFonts w:asciiTheme="majorEastAsia" w:eastAsiaTheme="majorEastAsia" w:hAnsiTheme="majorEastAsia" w:cs="Arial" w:hint="eastAsia"/>
          <w:sz w:val="28"/>
          <w:szCs w:val="28"/>
        </w:rPr>
        <w:t>申硕</w:t>
      </w:r>
      <w:r>
        <w:rPr>
          <w:rFonts w:asciiTheme="majorEastAsia" w:eastAsiaTheme="majorEastAsia" w:hAnsiTheme="majorEastAsia" w:cs="Arial" w:hint="eastAsia"/>
          <w:sz w:val="28"/>
          <w:szCs w:val="28"/>
        </w:rPr>
        <w:t>办理考试资格证。</w:t>
      </w:r>
      <w:r>
        <w:rPr>
          <w:rFonts w:asciiTheme="majorEastAsia" w:eastAsiaTheme="majorEastAsia" w:hAnsiTheme="majorEastAsia" w:cs="Arial" w:hint="eastAsia"/>
          <w:sz w:val="28"/>
          <w:szCs w:val="28"/>
        </w:rPr>
        <w:t xml:space="preserve"> </w:t>
      </w:r>
      <w:r>
        <w:rPr>
          <w:rFonts w:asciiTheme="majorEastAsia" w:eastAsiaTheme="majorEastAsia" w:hAnsiTheme="majorEastAsia" w:cs="Arial" w:hint="eastAsia"/>
          <w:sz w:val="28"/>
          <w:szCs w:val="28"/>
        </w:rPr>
        <w:br/>
        <w:t>4</w:t>
      </w:r>
      <w:r>
        <w:rPr>
          <w:rFonts w:asciiTheme="majorEastAsia" w:eastAsiaTheme="majorEastAsia" w:hAnsiTheme="majorEastAsia" w:cs="Arial" w:hint="eastAsia"/>
          <w:sz w:val="28"/>
          <w:szCs w:val="28"/>
        </w:rPr>
        <w:t>、上课时间：每月隔周上课，周六、日连续，上课时间上午</w:t>
      </w:r>
      <w:r>
        <w:rPr>
          <w:rFonts w:asciiTheme="majorEastAsia" w:eastAsiaTheme="majorEastAsia" w:hAnsiTheme="majorEastAsia" w:cs="Arial" w:hint="eastAsia"/>
          <w:sz w:val="28"/>
          <w:szCs w:val="28"/>
        </w:rPr>
        <w:t>9</w:t>
      </w:r>
      <w:r>
        <w:rPr>
          <w:rFonts w:asciiTheme="majorEastAsia" w:eastAsiaTheme="majorEastAsia" w:hAnsiTheme="majorEastAsia" w:cs="Arial" w:hint="eastAsia"/>
          <w:sz w:val="28"/>
          <w:szCs w:val="28"/>
        </w:rPr>
        <w:t>点—下午</w:t>
      </w:r>
      <w:r>
        <w:rPr>
          <w:rFonts w:asciiTheme="majorEastAsia" w:eastAsiaTheme="majorEastAsia" w:hAnsiTheme="majorEastAsia" w:cs="Arial" w:hint="eastAsia"/>
          <w:sz w:val="28"/>
          <w:szCs w:val="28"/>
        </w:rPr>
        <w:t>4</w:t>
      </w:r>
      <w:r>
        <w:rPr>
          <w:rFonts w:asciiTheme="majorEastAsia" w:eastAsiaTheme="majorEastAsia" w:hAnsiTheme="majorEastAsia" w:cs="Arial" w:hint="eastAsia"/>
          <w:sz w:val="28"/>
          <w:szCs w:val="28"/>
        </w:rPr>
        <w:t>点（午</w:t>
      </w:r>
      <w:r>
        <w:rPr>
          <w:rFonts w:asciiTheme="majorEastAsia" w:eastAsiaTheme="majorEastAsia" w:hAnsiTheme="majorEastAsia" w:cs="Arial" w:hint="eastAsia"/>
          <w:sz w:val="28"/>
          <w:szCs w:val="28"/>
        </w:rPr>
        <w:t>休时间为</w:t>
      </w: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小时）。</w:t>
      </w:r>
      <w:r>
        <w:rPr>
          <w:rFonts w:ascii="宋体" w:eastAsia="宋体" w:hAnsi="宋体" w:cs="宋体" w:hint="eastAsia"/>
          <w:color w:val="333333"/>
          <w:sz w:val="22"/>
        </w:rPr>
        <w:t xml:space="preserve">　</w:t>
      </w:r>
    </w:p>
    <w:p w:rsidR="00451074" w:rsidRDefault="00451074">
      <w:pPr>
        <w:rPr>
          <w:rFonts w:asciiTheme="majorEastAsia" w:eastAsiaTheme="majorEastAsia" w:hAnsiTheme="majorEastAsia"/>
          <w:b/>
          <w:sz w:val="28"/>
          <w:szCs w:val="28"/>
        </w:rPr>
      </w:pPr>
    </w:p>
    <w:p w:rsidR="00451074" w:rsidRDefault="002B25E9">
      <w:pPr>
        <w:rPr>
          <w:rFonts w:asciiTheme="majorEastAsia" w:eastAsiaTheme="majorEastAsia" w:hAnsiTheme="majorEastAsia"/>
          <w:b/>
          <w:sz w:val="28"/>
          <w:szCs w:val="28"/>
        </w:rPr>
      </w:pPr>
      <w:r>
        <w:rPr>
          <w:rFonts w:asciiTheme="majorEastAsia" w:eastAsiaTheme="majorEastAsia" w:hAnsiTheme="majorEastAsia" w:hint="eastAsia"/>
          <w:b/>
          <w:sz w:val="28"/>
          <w:szCs w:val="28"/>
        </w:rPr>
        <w:t>六、报名条件</w:t>
      </w:r>
    </w:p>
    <w:p w:rsidR="00451074" w:rsidRDefault="002B25E9">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、遵纪守法，品行端正，身体健康，能坚持在职学习者；</w:t>
      </w:r>
      <w:r>
        <w:rPr>
          <w:rFonts w:ascii="仿宋" w:eastAsia="仿宋" w:hAnsi="仿宋" w:hint="eastAsia"/>
          <w:sz w:val="28"/>
          <w:szCs w:val="28"/>
        </w:rPr>
        <w:t xml:space="preserve"> </w:t>
      </w:r>
    </w:p>
    <w:p w:rsidR="00451074" w:rsidRDefault="002B25E9">
      <w:pPr>
        <w:ind w:firstLineChars="200" w:firstLine="560"/>
        <w:rPr>
          <w:rFonts w:ascii="仿宋" w:eastAsia="仿宋" w:hAnsi="仿宋"/>
          <w:sz w:val="28"/>
          <w:szCs w:val="28"/>
        </w:rPr>
      </w:pPr>
      <w:r>
        <w:rPr>
          <w:rFonts w:ascii="仿宋" w:eastAsia="仿宋" w:hAnsi="仿宋" w:hint="eastAsia"/>
          <w:sz w:val="28"/>
          <w:szCs w:val="28"/>
        </w:rPr>
        <w:lastRenderedPageBreak/>
        <w:t>2</w:t>
      </w:r>
      <w:r>
        <w:rPr>
          <w:rFonts w:ascii="仿宋" w:eastAsia="仿宋" w:hAnsi="仿宋" w:hint="eastAsia"/>
          <w:sz w:val="28"/>
          <w:szCs w:val="28"/>
        </w:rPr>
        <w:t>、受教育背景，符合下列条件之一者：</w:t>
      </w:r>
      <w:r>
        <w:rPr>
          <w:rFonts w:ascii="仿宋" w:eastAsia="仿宋" w:hAnsi="仿宋" w:hint="eastAsia"/>
          <w:sz w:val="28"/>
          <w:szCs w:val="28"/>
        </w:rPr>
        <w:t xml:space="preserve"> </w:t>
      </w:r>
    </w:p>
    <w:p w:rsidR="00451074" w:rsidRDefault="002B25E9">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大学本科毕业，并获得学士学位</w:t>
      </w:r>
      <w:r>
        <w:rPr>
          <w:rFonts w:ascii="仿宋" w:eastAsia="仿宋" w:hAnsi="仿宋" w:hint="eastAsia"/>
          <w:sz w:val="28"/>
          <w:szCs w:val="28"/>
        </w:rPr>
        <w:t>，符合申硕同学入学要求。</w:t>
      </w:r>
      <w:r>
        <w:rPr>
          <w:rFonts w:ascii="仿宋" w:eastAsia="仿宋" w:hAnsi="仿宋" w:hint="eastAsia"/>
          <w:sz w:val="28"/>
          <w:szCs w:val="28"/>
        </w:rPr>
        <w:t xml:space="preserve"> </w:t>
      </w:r>
    </w:p>
    <w:p w:rsidR="00451074" w:rsidRDefault="002B25E9">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大学本科毕业，并获得学士学位</w:t>
      </w:r>
      <w:r>
        <w:rPr>
          <w:rFonts w:ascii="仿宋" w:eastAsia="仿宋" w:hAnsi="仿宋" w:hint="eastAsia"/>
          <w:sz w:val="28"/>
          <w:szCs w:val="28"/>
        </w:rPr>
        <w:t>满三年以上，进校当年可进行同等学力申硕</w:t>
      </w:r>
      <w:r>
        <w:rPr>
          <w:rFonts w:ascii="仿宋" w:eastAsia="仿宋" w:hAnsi="仿宋" w:hint="eastAsia"/>
          <w:sz w:val="28"/>
          <w:szCs w:val="28"/>
        </w:rPr>
        <w:t>；</w:t>
      </w:r>
      <w:r>
        <w:rPr>
          <w:rFonts w:ascii="仿宋" w:eastAsia="仿宋" w:hAnsi="仿宋" w:hint="eastAsia"/>
          <w:sz w:val="28"/>
          <w:szCs w:val="28"/>
        </w:rPr>
        <w:t xml:space="preserve"> </w:t>
      </w:r>
    </w:p>
    <w:p w:rsidR="00451074" w:rsidRDefault="002B25E9">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大专学历，旨在提高本人业务素质，也可参加研修班课程的学习</w:t>
      </w:r>
      <w:r>
        <w:rPr>
          <w:rFonts w:ascii="仿宋" w:eastAsia="仿宋" w:hAnsi="仿宋" w:hint="eastAsia"/>
          <w:sz w:val="28"/>
          <w:szCs w:val="28"/>
        </w:rPr>
        <w:t>，</w:t>
      </w:r>
      <w:r>
        <w:rPr>
          <w:rFonts w:ascii="仿宋" w:eastAsia="仿宋" w:hAnsi="仿宋" w:hint="eastAsia"/>
          <w:sz w:val="28"/>
          <w:szCs w:val="28"/>
        </w:rPr>
        <w:t>取得人大研究生院颁发结业证书</w:t>
      </w:r>
      <w:r>
        <w:rPr>
          <w:rFonts w:ascii="仿宋" w:eastAsia="仿宋" w:hAnsi="仿宋" w:hint="eastAsia"/>
          <w:sz w:val="28"/>
          <w:szCs w:val="28"/>
        </w:rPr>
        <w:t>。</w:t>
      </w:r>
    </w:p>
    <w:p w:rsidR="00451074" w:rsidRDefault="002B25E9">
      <w:pPr>
        <w:rPr>
          <w:rFonts w:asciiTheme="majorEastAsia" w:eastAsiaTheme="majorEastAsia" w:hAnsiTheme="majorEastAsia"/>
          <w:b/>
          <w:sz w:val="28"/>
          <w:szCs w:val="28"/>
        </w:rPr>
      </w:pPr>
      <w:r>
        <w:rPr>
          <w:rFonts w:asciiTheme="majorEastAsia" w:eastAsiaTheme="majorEastAsia" w:hAnsiTheme="majorEastAsia" w:hint="eastAsia"/>
          <w:b/>
          <w:sz w:val="28"/>
          <w:szCs w:val="28"/>
        </w:rPr>
        <w:t>七、报名办法</w:t>
      </w:r>
    </w:p>
    <w:p w:rsidR="00451074" w:rsidRDefault="002B25E9">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、报名时间：</w:t>
      </w:r>
      <w:r>
        <w:rPr>
          <w:rFonts w:ascii="仿宋" w:eastAsia="仿宋" w:hAnsi="仿宋" w:hint="eastAsia"/>
          <w:sz w:val="28"/>
          <w:szCs w:val="28"/>
        </w:rPr>
        <w:t>9:00-17:00</w:t>
      </w:r>
    </w:p>
    <w:p w:rsidR="00451074" w:rsidRDefault="002B25E9">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、报名手续：</w:t>
      </w:r>
    </w:p>
    <w:p w:rsidR="00451074" w:rsidRDefault="002B25E9">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到报名地点注册，登记报名。</w:t>
      </w:r>
    </w:p>
    <w:p w:rsidR="00451074" w:rsidRDefault="002B25E9">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填写在职人员在职课程研修班报名登记表。</w:t>
      </w:r>
    </w:p>
    <w:p w:rsidR="00451074" w:rsidRDefault="002B25E9">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本人最后学历证书</w:t>
      </w:r>
      <w:r>
        <w:rPr>
          <w:rFonts w:ascii="仿宋" w:eastAsia="仿宋" w:hAnsi="仿宋" w:hint="eastAsia"/>
          <w:sz w:val="28"/>
          <w:szCs w:val="28"/>
        </w:rPr>
        <w:t>、</w:t>
      </w:r>
      <w:r>
        <w:rPr>
          <w:rFonts w:ascii="仿宋" w:eastAsia="仿宋" w:hAnsi="仿宋" w:hint="eastAsia"/>
          <w:sz w:val="28"/>
          <w:szCs w:val="28"/>
        </w:rPr>
        <w:t>学位证书</w:t>
      </w:r>
      <w:r>
        <w:rPr>
          <w:rFonts w:ascii="仿宋" w:eastAsia="仿宋" w:hAnsi="仿宋" w:hint="eastAsia"/>
          <w:sz w:val="28"/>
          <w:szCs w:val="28"/>
        </w:rPr>
        <w:t>、</w:t>
      </w:r>
      <w:r>
        <w:rPr>
          <w:rFonts w:ascii="仿宋" w:eastAsia="仿宋" w:hAnsi="仿宋" w:hint="eastAsia"/>
          <w:sz w:val="28"/>
          <w:szCs w:val="28"/>
        </w:rPr>
        <w:t>身份证</w:t>
      </w:r>
      <w:r>
        <w:rPr>
          <w:rFonts w:ascii="仿宋" w:eastAsia="仿宋" w:hAnsi="仿宋" w:hint="eastAsia"/>
          <w:sz w:val="28"/>
          <w:szCs w:val="28"/>
        </w:rPr>
        <w:t>三个证书</w:t>
      </w:r>
      <w:r>
        <w:rPr>
          <w:rFonts w:ascii="仿宋" w:eastAsia="仿宋" w:hAnsi="仿宋" w:hint="eastAsia"/>
          <w:sz w:val="28"/>
          <w:szCs w:val="28"/>
        </w:rPr>
        <w:t>复印件。</w:t>
      </w:r>
    </w:p>
    <w:p w:rsidR="00451074" w:rsidRDefault="002B25E9">
      <w:pPr>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1</w:t>
      </w:r>
      <w:r>
        <w:rPr>
          <w:rFonts w:ascii="仿宋" w:eastAsia="仿宋" w:hAnsi="仿宋" w:hint="eastAsia"/>
          <w:sz w:val="28"/>
          <w:szCs w:val="28"/>
        </w:rPr>
        <w:t>寸证件照</w:t>
      </w:r>
      <w:r>
        <w:rPr>
          <w:rFonts w:ascii="仿宋" w:eastAsia="仿宋" w:hAnsi="仿宋" w:hint="eastAsia"/>
          <w:sz w:val="28"/>
          <w:szCs w:val="28"/>
        </w:rPr>
        <w:t>4</w:t>
      </w:r>
      <w:r>
        <w:rPr>
          <w:rFonts w:ascii="仿宋" w:eastAsia="仿宋" w:hAnsi="仿宋" w:hint="eastAsia"/>
          <w:sz w:val="28"/>
          <w:szCs w:val="28"/>
        </w:rPr>
        <w:t>张</w:t>
      </w: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寸证件照</w:t>
      </w:r>
      <w:r>
        <w:rPr>
          <w:rFonts w:ascii="仿宋" w:eastAsia="仿宋" w:hAnsi="仿宋" w:hint="eastAsia"/>
          <w:sz w:val="28"/>
          <w:szCs w:val="28"/>
        </w:rPr>
        <w:t>2</w:t>
      </w:r>
      <w:r>
        <w:rPr>
          <w:rFonts w:ascii="仿宋" w:eastAsia="仿宋" w:hAnsi="仿宋" w:hint="eastAsia"/>
          <w:sz w:val="28"/>
          <w:szCs w:val="28"/>
        </w:rPr>
        <w:t>张</w:t>
      </w:r>
      <w:r>
        <w:rPr>
          <w:rFonts w:ascii="仿宋" w:eastAsia="仿宋" w:hAnsi="仿宋" w:hint="eastAsia"/>
          <w:sz w:val="28"/>
          <w:szCs w:val="28"/>
        </w:rPr>
        <w:t>。</w:t>
      </w:r>
    </w:p>
    <w:p w:rsidR="00451074" w:rsidRDefault="002B25E9">
      <w:pPr>
        <w:rPr>
          <w:rFonts w:asciiTheme="majorEastAsia" w:eastAsiaTheme="majorEastAsia" w:hAnsiTheme="majorEastAsia"/>
          <w:b/>
          <w:sz w:val="28"/>
          <w:szCs w:val="28"/>
        </w:rPr>
      </w:pPr>
      <w:r>
        <w:rPr>
          <w:rFonts w:asciiTheme="majorEastAsia" w:eastAsiaTheme="majorEastAsia" w:hAnsiTheme="majorEastAsia" w:hint="eastAsia"/>
          <w:b/>
          <w:sz w:val="28"/>
          <w:szCs w:val="28"/>
        </w:rPr>
        <w:t>八</w:t>
      </w:r>
      <w:r>
        <w:rPr>
          <w:rFonts w:asciiTheme="majorEastAsia" w:eastAsiaTheme="majorEastAsia" w:hAnsiTheme="majorEastAsia" w:hint="eastAsia"/>
          <w:b/>
          <w:sz w:val="28"/>
          <w:szCs w:val="28"/>
        </w:rPr>
        <w:t>、收费标准</w:t>
      </w:r>
    </w:p>
    <w:p w:rsidR="00451074" w:rsidRDefault="002B25E9">
      <w:pPr>
        <w:ind w:firstLineChars="200" w:firstLine="640"/>
        <w:rPr>
          <w:rFonts w:ascii="仿宋" w:eastAsia="仿宋" w:hAnsi="仿宋"/>
          <w:sz w:val="32"/>
          <w:szCs w:val="32"/>
        </w:rPr>
      </w:pPr>
      <w:r>
        <w:rPr>
          <w:rFonts w:ascii="仿宋" w:eastAsia="仿宋" w:hAnsi="仿宋" w:hint="eastAsia"/>
          <w:sz w:val="32"/>
          <w:szCs w:val="32"/>
        </w:rPr>
        <w:t>学费</w:t>
      </w:r>
      <w:r>
        <w:rPr>
          <w:rFonts w:ascii="仿宋" w:eastAsia="仿宋" w:hAnsi="仿宋" w:hint="eastAsia"/>
          <w:b/>
          <w:bCs/>
          <w:color w:val="C00000"/>
          <w:sz w:val="32"/>
          <w:szCs w:val="32"/>
        </w:rPr>
        <w:t>38</w:t>
      </w:r>
      <w:r>
        <w:rPr>
          <w:rFonts w:ascii="仿宋" w:eastAsia="仿宋" w:hAnsi="仿宋" w:hint="eastAsia"/>
          <w:b/>
          <w:bCs/>
          <w:color w:val="C00000"/>
          <w:sz w:val="32"/>
          <w:szCs w:val="32"/>
        </w:rPr>
        <w:t>000</w:t>
      </w:r>
      <w:r>
        <w:rPr>
          <w:rFonts w:ascii="仿宋" w:eastAsia="仿宋" w:hAnsi="仿宋" w:hint="eastAsia"/>
          <w:b/>
          <w:bCs/>
          <w:color w:val="C00000"/>
          <w:sz w:val="32"/>
          <w:szCs w:val="32"/>
        </w:rPr>
        <w:t>元</w:t>
      </w:r>
      <w:r>
        <w:rPr>
          <w:rFonts w:ascii="仿宋" w:eastAsia="仿宋" w:hAnsi="仿宋" w:hint="eastAsia"/>
          <w:b/>
          <w:bCs/>
          <w:color w:val="C00000"/>
          <w:sz w:val="32"/>
          <w:szCs w:val="32"/>
        </w:rPr>
        <w:t>/</w:t>
      </w:r>
      <w:r>
        <w:rPr>
          <w:rFonts w:ascii="仿宋" w:eastAsia="仿宋" w:hAnsi="仿宋" w:hint="eastAsia"/>
          <w:b/>
          <w:bCs/>
          <w:color w:val="C00000"/>
          <w:sz w:val="32"/>
          <w:szCs w:val="32"/>
        </w:rPr>
        <w:t>两年</w:t>
      </w:r>
      <w:r>
        <w:rPr>
          <w:rFonts w:ascii="仿宋" w:eastAsia="仿宋" w:hAnsi="仿宋" w:hint="eastAsia"/>
          <w:sz w:val="32"/>
          <w:szCs w:val="32"/>
        </w:rPr>
        <w:t>，</w:t>
      </w:r>
      <w:r>
        <w:rPr>
          <w:rFonts w:ascii="仿宋" w:eastAsia="仿宋" w:hAnsi="仿宋" w:hint="eastAsia"/>
          <w:sz w:val="32"/>
          <w:szCs w:val="32"/>
        </w:rPr>
        <w:t>学费一次性交清</w:t>
      </w:r>
      <w:r>
        <w:rPr>
          <w:rFonts w:ascii="仿宋" w:eastAsia="仿宋" w:hAnsi="仿宋" w:hint="eastAsia"/>
          <w:sz w:val="32"/>
          <w:szCs w:val="32"/>
        </w:rPr>
        <w:t>。</w:t>
      </w:r>
      <w:r>
        <w:rPr>
          <w:rFonts w:ascii="仿宋" w:eastAsia="仿宋" w:hAnsi="仿宋" w:hint="eastAsia"/>
          <w:sz w:val="32"/>
          <w:szCs w:val="32"/>
        </w:rPr>
        <w:t>开学后，</w:t>
      </w:r>
      <w:r>
        <w:rPr>
          <w:rFonts w:ascii="仿宋" w:eastAsia="仿宋" w:hAnsi="仿宋" w:hint="eastAsia"/>
          <w:sz w:val="32"/>
          <w:szCs w:val="32"/>
        </w:rPr>
        <w:t>学员因故不能坚持研修学习，视作自动放弃学习，不退</w:t>
      </w:r>
      <w:r>
        <w:rPr>
          <w:rFonts w:ascii="仿宋" w:eastAsia="仿宋" w:hAnsi="仿宋" w:hint="eastAsia"/>
          <w:sz w:val="32"/>
          <w:szCs w:val="32"/>
        </w:rPr>
        <w:t>研修班学费</w:t>
      </w:r>
      <w:r>
        <w:rPr>
          <w:rFonts w:ascii="仿宋" w:eastAsia="仿宋" w:hAnsi="仿宋" w:hint="eastAsia"/>
          <w:sz w:val="32"/>
          <w:szCs w:val="32"/>
        </w:rPr>
        <w:t>。</w:t>
      </w:r>
    </w:p>
    <w:p w:rsidR="00451074" w:rsidRDefault="002B25E9">
      <w:pPr>
        <w:ind w:firstLineChars="200" w:firstLine="640"/>
        <w:rPr>
          <w:rFonts w:ascii="仿宋" w:eastAsia="仿宋" w:hAnsi="仿宋"/>
          <w:sz w:val="32"/>
          <w:szCs w:val="32"/>
        </w:rPr>
      </w:pPr>
      <w:r>
        <w:rPr>
          <w:rFonts w:ascii="仿宋" w:eastAsia="仿宋" w:hAnsi="仿宋" w:hint="eastAsia"/>
          <w:sz w:val="32"/>
          <w:szCs w:val="32"/>
        </w:rPr>
        <w:t>申请硕士学位者，学位课程考试费及论文指导费、论文答辩费等按中国人民大学有关收费标准另行交纳。</w:t>
      </w:r>
    </w:p>
    <w:p w:rsidR="00451074" w:rsidRDefault="00451074">
      <w:pPr>
        <w:rPr>
          <w:rFonts w:asciiTheme="majorEastAsia" w:eastAsiaTheme="majorEastAsia" w:hAnsiTheme="majorEastAsia"/>
          <w:b/>
          <w:sz w:val="28"/>
          <w:szCs w:val="28"/>
        </w:rPr>
      </w:pPr>
    </w:p>
    <w:p w:rsidR="00451074" w:rsidRDefault="002B25E9">
      <w:pPr>
        <w:rPr>
          <w:rFonts w:asciiTheme="majorEastAsia" w:eastAsiaTheme="majorEastAsia" w:hAnsiTheme="majorEastAsia"/>
          <w:b/>
          <w:sz w:val="28"/>
          <w:szCs w:val="28"/>
        </w:rPr>
      </w:pPr>
      <w:r>
        <w:rPr>
          <w:rFonts w:asciiTheme="majorEastAsia" w:eastAsiaTheme="majorEastAsia" w:hAnsiTheme="majorEastAsia" w:hint="eastAsia"/>
          <w:b/>
          <w:sz w:val="28"/>
          <w:szCs w:val="28"/>
        </w:rPr>
        <w:t>九</w:t>
      </w:r>
      <w:r>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颁发</w:t>
      </w:r>
      <w:r>
        <w:rPr>
          <w:rFonts w:asciiTheme="majorEastAsia" w:eastAsiaTheme="majorEastAsia" w:hAnsiTheme="majorEastAsia" w:hint="eastAsia"/>
          <w:b/>
          <w:sz w:val="28"/>
          <w:szCs w:val="28"/>
        </w:rPr>
        <w:t>证书</w:t>
      </w:r>
    </w:p>
    <w:p w:rsidR="00451074" w:rsidRDefault="002B25E9">
      <w:pPr>
        <w:rPr>
          <w:rFonts w:ascii="仿宋" w:eastAsia="仿宋" w:hAnsi="仿宋"/>
          <w:sz w:val="32"/>
          <w:szCs w:val="32"/>
        </w:rPr>
      </w:pPr>
      <w:r>
        <w:rPr>
          <w:rFonts w:ascii="仿宋" w:eastAsia="仿宋" w:hAnsi="仿宋"/>
          <w:sz w:val="32"/>
          <w:szCs w:val="32"/>
        </w:rPr>
        <w:t>1</w:t>
      </w:r>
      <w:r>
        <w:rPr>
          <w:rFonts w:ascii="仿宋" w:eastAsia="仿宋" w:hAnsi="仿宋"/>
          <w:sz w:val="32"/>
          <w:szCs w:val="32"/>
        </w:rPr>
        <w:t>、学员完成课程设置中所规定的课程并考试（考核）成绩</w:t>
      </w:r>
      <w:r>
        <w:rPr>
          <w:rFonts w:ascii="仿宋" w:eastAsia="仿宋" w:hAnsi="仿宋"/>
          <w:sz w:val="32"/>
          <w:szCs w:val="32"/>
        </w:rPr>
        <w:lastRenderedPageBreak/>
        <w:t>合格者即可结业。</w:t>
      </w:r>
      <w:r>
        <w:rPr>
          <w:rFonts w:ascii="仿宋" w:eastAsia="仿宋" w:hAnsi="仿宋"/>
          <w:sz w:val="32"/>
          <w:szCs w:val="32"/>
        </w:rPr>
        <w:br/>
        <w:t>2</w:t>
      </w:r>
      <w:r>
        <w:rPr>
          <w:rFonts w:ascii="仿宋" w:eastAsia="仿宋" w:hAnsi="仿宋"/>
          <w:sz w:val="32"/>
          <w:szCs w:val="32"/>
        </w:rPr>
        <w:t>、结业学员获加盖学校钢印和红章的《</w:t>
      </w:r>
      <w:r>
        <w:rPr>
          <w:rFonts w:ascii="仿宋" w:eastAsia="仿宋" w:hAnsi="仿宋" w:hint="eastAsia"/>
          <w:sz w:val="32"/>
          <w:szCs w:val="32"/>
        </w:rPr>
        <w:t>中国人民</w:t>
      </w:r>
      <w:r>
        <w:rPr>
          <w:rFonts w:ascii="仿宋" w:eastAsia="仿宋" w:hAnsi="仿宋"/>
          <w:sz w:val="32"/>
          <w:szCs w:val="32"/>
        </w:rPr>
        <w:t>大学研修班结业证书》。</w:t>
      </w:r>
      <w:r>
        <w:rPr>
          <w:rFonts w:ascii="仿宋" w:eastAsia="仿宋" w:hAnsi="仿宋"/>
          <w:sz w:val="32"/>
          <w:szCs w:val="32"/>
        </w:rPr>
        <w:br/>
        <w:t>3</w:t>
      </w:r>
      <w:r>
        <w:rPr>
          <w:rFonts w:ascii="仿宋" w:eastAsia="仿宋" w:hAnsi="仿宋"/>
          <w:sz w:val="32"/>
          <w:szCs w:val="32"/>
        </w:rPr>
        <w:t>、符合申请硕士学位条件的学员（取得国家承认学士学位）可按我校有关规定申请</w:t>
      </w:r>
      <w:r>
        <w:rPr>
          <w:rFonts w:ascii="仿宋" w:eastAsia="仿宋" w:hAnsi="仿宋" w:hint="eastAsia"/>
          <w:sz w:val="32"/>
          <w:szCs w:val="32"/>
        </w:rPr>
        <w:t>中国人民大学</w:t>
      </w:r>
      <w:r>
        <w:rPr>
          <w:rFonts w:ascii="仿宋" w:eastAsia="仿宋" w:hAnsi="仿宋" w:hint="eastAsia"/>
          <w:b/>
          <w:color w:val="C00000"/>
          <w:sz w:val="32"/>
          <w:szCs w:val="32"/>
        </w:rPr>
        <w:t>管理学</w:t>
      </w:r>
      <w:r>
        <w:rPr>
          <w:rFonts w:ascii="仿宋" w:eastAsia="仿宋" w:hAnsi="仿宋"/>
          <w:b/>
          <w:color w:val="C00000"/>
          <w:sz w:val="32"/>
          <w:szCs w:val="32"/>
        </w:rPr>
        <w:t>硕士</w:t>
      </w:r>
      <w:r>
        <w:rPr>
          <w:rFonts w:ascii="仿宋" w:eastAsia="仿宋" w:hAnsi="仿宋"/>
          <w:sz w:val="32"/>
          <w:szCs w:val="32"/>
        </w:rPr>
        <w:t>学位。</w:t>
      </w:r>
    </w:p>
    <w:p w:rsidR="00451074" w:rsidRDefault="002B25E9">
      <w:pPr>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该学位证书与统招生学位证书具有相同的法律效力与社会认可度</w:t>
      </w:r>
      <w:r>
        <w:rPr>
          <w:rFonts w:ascii="仿宋" w:eastAsia="仿宋" w:hAnsi="仿宋" w:hint="eastAsia"/>
          <w:sz w:val="32"/>
          <w:szCs w:val="32"/>
        </w:rPr>
        <w:t>。</w:t>
      </w:r>
    </w:p>
    <w:p w:rsidR="00451074" w:rsidRDefault="002B25E9">
      <w:pPr>
        <w:rPr>
          <w:rFonts w:ascii="仿宋" w:eastAsia="仿宋" w:hAnsi="仿宋"/>
          <w:sz w:val="32"/>
          <w:szCs w:val="32"/>
        </w:rPr>
      </w:pPr>
      <w:r>
        <w:rPr>
          <w:rFonts w:asciiTheme="majorEastAsia" w:eastAsiaTheme="majorEastAsia" w:hAnsiTheme="majorEastAsia" w:hint="eastAsia"/>
          <w:b/>
          <w:sz w:val="28"/>
          <w:szCs w:val="28"/>
        </w:rPr>
        <w:t>十、申请硕士学位及方法</w:t>
      </w:r>
      <w:r>
        <w:rPr>
          <w:rFonts w:ascii="Tahoma" w:hAnsi="Tahoma" w:cs="Tahoma"/>
          <w:b/>
          <w:bCs/>
          <w:color w:val="000000"/>
          <w:szCs w:val="21"/>
          <w:shd w:val="clear" w:color="auto" w:fill="FFFFFF"/>
        </w:rPr>
        <w:br/>
      </w:r>
      <w:r>
        <w:rPr>
          <w:rFonts w:ascii="仿宋" w:eastAsia="仿宋" w:hAnsi="仿宋"/>
          <w:sz w:val="32"/>
          <w:szCs w:val="32"/>
        </w:rPr>
        <w:t>1</w:t>
      </w:r>
      <w:r>
        <w:rPr>
          <w:rFonts w:ascii="仿宋" w:eastAsia="仿宋" w:hAnsi="仿宋"/>
          <w:sz w:val="32"/>
          <w:szCs w:val="32"/>
        </w:rPr>
        <w:t>、申请学位按照</w:t>
      </w:r>
      <w:r>
        <w:rPr>
          <w:rFonts w:ascii="仿宋" w:eastAsia="仿宋" w:hAnsi="仿宋" w:hint="eastAsia"/>
          <w:sz w:val="32"/>
          <w:szCs w:val="32"/>
        </w:rPr>
        <w:t>中国人民</w:t>
      </w:r>
      <w:r>
        <w:rPr>
          <w:rFonts w:ascii="仿宋" w:eastAsia="仿宋" w:hAnsi="仿宋"/>
          <w:sz w:val="32"/>
          <w:szCs w:val="32"/>
        </w:rPr>
        <w:t>大学研究生</w:t>
      </w:r>
      <w:r>
        <w:rPr>
          <w:rFonts w:ascii="仿宋" w:eastAsia="仿宋" w:hAnsi="仿宋" w:hint="eastAsia"/>
          <w:sz w:val="32"/>
          <w:szCs w:val="32"/>
        </w:rPr>
        <w:t>院</w:t>
      </w:r>
      <w:r>
        <w:rPr>
          <w:rFonts w:ascii="仿宋" w:eastAsia="仿宋" w:hAnsi="仿宋"/>
          <w:sz w:val="32"/>
          <w:szCs w:val="32"/>
        </w:rPr>
        <w:t>学位办公室关于以研究生毕业同等学力申请硕士学位的规定办理。所交学费不包括进入论文阶段后的费用。</w:t>
      </w:r>
      <w:r>
        <w:rPr>
          <w:rFonts w:ascii="宋体" w:eastAsia="宋体" w:hAnsi="宋体" w:cs="宋体" w:hint="eastAsia"/>
          <w:sz w:val="32"/>
          <w:szCs w:val="32"/>
        </w:rPr>
        <w:t> </w:t>
      </w:r>
      <w:r>
        <w:rPr>
          <w:rFonts w:ascii="仿宋" w:eastAsia="仿宋" w:hAnsi="仿宋"/>
          <w:sz w:val="32"/>
          <w:szCs w:val="32"/>
        </w:rPr>
        <w:br/>
        <w:t>2</w:t>
      </w:r>
      <w:r>
        <w:rPr>
          <w:rFonts w:ascii="仿宋" w:eastAsia="仿宋" w:hAnsi="仿宋"/>
          <w:sz w:val="32"/>
          <w:szCs w:val="32"/>
        </w:rPr>
        <w:t>、报名参加在职课程研修班学习的人员，可在报名时提出以研究生毕业同等学力申请硕士学位。</w:t>
      </w:r>
      <w:r>
        <w:rPr>
          <w:rFonts w:ascii="宋体" w:eastAsia="宋体" w:hAnsi="宋体" w:cs="宋体" w:hint="eastAsia"/>
          <w:sz w:val="32"/>
          <w:szCs w:val="32"/>
        </w:rPr>
        <w:t> </w:t>
      </w:r>
      <w:r>
        <w:rPr>
          <w:rFonts w:ascii="仿宋" w:eastAsia="仿宋" w:hAnsi="仿宋"/>
          <w:sz w:val="32"/>
          <w:szCs w:val="32"/>
        </w:rPr>
        <w:br/>
        <w:t>3</w:t>
      </w:r>
      <w:r>
        <w:rPr>
          <w:rFonts w:ascii="仿宋" w:eastAsia="仿宋" w:hAnsi="仿宋"/>
          <w:sz w:val="32"/>
          <w:szCs w:val="32"/>
        </w:rPr>
        <w:t>、国家统一组织的英语和学科综合水平考试，由我院协助学员到研究生</w:t>
      </w:r>
      <w:r>
        <w:rPr>
          <w:rFonts w:ascii="仿宋" w:eastAsia="仿宋" w:hAnsi="仿宋" w:hint="eastAsia"/>
          <w:sz w:val="32"/>
          <w:szCs w:val="32"/>
        </w:rPr>
        <w:t>院</w:t>
      </w:r>
      <w:r>
        <w:rPr>
          <w:rFonts w:ascii="仿宋" w:eastAsia="仿宋" w:hAnsi="仿宋"/>
          <w:sz w:val="32"/>
          <w:szCs w:val="32"/>
        </w:rPr>
        <w:t>办理手续，费用按规定由学员交纳。</w:t>
      </w:r>
      <w:r>
        <w:rPr>
          <w:rFonts w:ascii="宋体" w:eastAsia="宋体" w:hAnsi="宋体" w:cs="宋体" w:hint="eastAsia"/>
          <w:sz w:val="32"/>
          <w:szCs w:val="32"/>
        </w:rPr>
        <w:t> </w:t>
      </w:r>
      <w:r>
        <w:rPr>
          <w:rFonts w:ascii="仿宋" w:eastAsia="仿宋" w:hAnsi="仿宋"/>
          <w:sz w:val="32"/>
          <w:szCs w:val="32"/>
        </w:rPr>
        <w:br/>
        <w:t>4</w:t>
      </w:r>
      <w:r>
        <w:rPr>
          <w:rFonts w:ascii="仿宋" w:eastAsia="仿宋" w:hAnsi="仿宋"/>
          <w:sz w:val="32"/>
          <w:szCs w:val="32"/>
        </w:rPr>
        <w:t>、我院将为学员安排教师进行学位论文的指导。</w:t>
      </w:r>
    </w:p>
    <w:p w:rsidR="00451074" w:rsidRDefault="002B25E9">
      <w:pPr>
        <w:rPr>
          <w:rFonts w:asciiTheme="majorEastAsia" w:eastAsiaTheme="majorEastAsia" w:hAnsiTheme="majorEastAsia"/>
          <w:b/>
          <w:sz w:val="28"/>
          <w:szCs w:val="28"/>
        </w:rPr>
      </w:pPr>
      <w:r>
        <w:rPr>
          <w:rFonts w:asciiTheme="majorEastAsia" w:eastAsiaTheme="majorEastAsia" w:hAnsiTheme="majorEastAsia" w:hint="eastAsia"/>
          <w:b/>
          <w:sz w:val="28"/>
          <w:szCs w:val="28"/>
        </w:rPr>
        <w:t>十</w:t>
      </w:r>
      <w:r>
        <w:rPr>
          <w:rFonts w:asciiTheme="majorEastAsia" w:eastAsiaTheme="majorEastAsia" w:hAnsiTheme="majorEastAsia" w:hint="eastAsia"/>
          <w:b/>
          <w:sz w:val="28"/>
          <w:szCs w:val="28"/>
        </w:rPr>
        <w:t>一</w:t>
      </w:r>
      <w:r>
        <w:rPr>
          <w:rFonts w:asciiTheme="majorEastAsia" w:eastAsiaTheme="majorEastAsia" w:hAnsiTheme="majorEastAsia" w:hint="eastAsia"/>
          <w:b/>
          <w:sz w:val="28"/>
          <w:szCs w:val="28"/>
        </w:rPr>
        <w:t>、重要知会</w:t>
      </w:r>
    </w:p>
    <w:p w:rsidR="00451074" w:rsidRDefault="002B25E9">
      <w:pPr>
        <w:rPr>
          <w:rFonts w:asciiTheme="majorEastAsia" w:eastAsiaTheme="majorEastAsia" w:hAnsiTheme="majorEastAsia" w:cs="Arial"/>
          <w:sz w:val="28"/>
          <w:szCs w:val="28"/>
        </w:rPr>
      </w:pPr>
      <w:r>
        <w:rPr>
          <w:rFonts w:ascii="仿宋" w:eastAsia="仿宋" w:hAnsi="仿宋" w:hint="eastAsia"/>
          <w:sz w:val="32"/>
          <w:szCs w:val="32"/>
        </w:rPr>
        <w:t>交付学校审核的本科毕业证书、学士学位证书、身份证必须真实有效，若因证书不真实造成后果，一切责任由本人</w:t>
      </w:r>
      <w:r>
        <w:rPr>
          <w:rFonts w:ascii="仿宋" w:eastAsia="仿宋" w:hAnsi="仿宋" w:hint="eastAsia"/>
          <w:sz w:val="32"/>
          <w:szCs w:val="32"/>
        </w:rPr>
        <w:t>承担。</w:t>
      </w:r>
    </w:p>
    <w:p w:rsidR="00177FC5" w:rsidRDefault="00177FC5" w:rsidP="00177FC5">
      <w:pPr>
        <w:ind w:firstLineChars="500" w:firstLine="1800"/>
        <w:rPr>
          <w:rFonts w:asciiTheme="minorEastAsia" w:hAnsiTheme="minorEastAsia" w:cstheme="minorEastAsia"/>
          <w:sz w:val="24"/>
        </w:rPr>
      </w:pPr>
      <w:r w:rsidRPr="00F31915">
        <w:rPr>
          <w:rFonts w:ascii="微软雅黑" w:eastAsia="微软雅黑" w:hAnsi="微软雅黑" w:cs="微软雅黑" w:hint="eastAsia"/>
          <w:sz w:val="36"/>
          <w:szCs w:val="36"/>
        </w:rPr>
        <w:t>中国人民大学</w:t>
      </w:r>
      <w:r>
        <w:rPr>
          <w:rFonts w:ascii="微软雅黑" w:eastAsia="微软雅黑" w:hAnsi="微软雅黑" w:cs="微软雅黑" w:hint="eastAsia"/>
          <w:sz w:val="36"/>
          <w:szCs w:val="36"/>
        </w:rPr>
        <w:t>在职研报名表</w:t>
      </w:r>
    </w:p>
    <w:p w:rsidR="00177FC5" w:rsidRDefault="00177FC5" w:rsidP="00177FC5">
      <w:pPr>
        <w:ind w:firstLineChars="200" w:firstLine="480"/>
        <w:rPr>
          <w:rFonts w:asciiTheme="minorEastAsia" w:hAnsiTheme="minorEastAsia" w:cstheme="minorEastAsia"/>
          <w:sz w:val="24"/>
        </w:rPr>
      </w:pPr>
    </w:p>
    <w:tbl>
      <w:tblPr>
        <w:tblW w:w="9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9"/>
        <w:gridCol w:w="220"/>
        <w:gridCol w:w="323"/>
        <w:gridCol w:w="270"/>
        <w:gridCol w:w="661"/>
        <w:gridCol w:w="1096"/>
        <w:gridCol w:w="425"/>
        <w:gridCol w:w="709"/>
        <w:gridCol w:w="296"/>
        <w:gridCol w:w="555"/>
        <w:gridCol w:w="705"/>
        <w:gridCol w:w="1080"/>
        <w:gridCol w:w="383"/>
        <w:gridCol w:w="1659"/>
      </w:tblGrid>
      <w:tr w:rsidR="00177FC5" w:rsidTr="000A4BA0">
        <w:trPr>
          <w:trHeight w:val="564"/>
          <w:jc w:val="center"/>
        </w:trPr>
        <w:tc>
          <w:tcPr>
            <w:tcW w:w="1629" w:type="dxa"/>
            <w:gridSpan w:val="2"/>
            <w:tcBorders>
              <w:top w:val="double" w:sz="4" w:space="0" w:color="auto"/>
              <w:left w:val="double" w:sz="4" w:space="0" w:color="auto"/>
              <w:bottom w:val="single" w:sz="4" w:space="0" w:color="auto"/>
              <w:right w:val="single" w:sz="4" w:space="0" w:color="auto"/>
            </w:tcBorders>
            <w:vAlign w:val="center"/>
          </w:tcPr>
          <w:p w:rsidR="00177FC5" w:rsidRDefault="00177FC5" w:rsidP="000A4BA0">
            <w:pPr>
              <w:jc w:val="center"/>
              <w:rPr>
                <w:rFonts w:ascii="宋体" w:hAnsi="宋体"/>
                <w:szCs w:val="21"/>
              </w:rPr>
            </w:pPr>
            <w:r>
              <w:rPr>
                <w:rFonts w:ascii="宋体" w:hAnsi="宋体" w:hint="eastAsia"/>
                <w:szCs w:val="21"/>
              </w:rPr>
              <w:t>姓   名</w:t>
            </w:r>
          </w:p>
        </w:tc>
        <w:tc>
          <w:tcPr>
            <w:tcW w:w="1254" w:type="dxa"/>
            <w:gridSpan w:val="3"/>
            <w:tcBorders>
              <w:top w:val="double" w:sz="4" w:space="0" w:color="auto"/>
              <w:left w:val="single" w:sz="4" w:space="0" w:color="auto"/>
              <w:bottom w:val="single" w:sz="4" w:space="0" w:color="auto"/>
              <w:right w:val="single" w:sz="4" w:space="0" w:color="auto"/>
            </w:tcBorders>
            <w:vAlign w:val="center"/>
          </w:tcPr>
          <w:p w:rsidR="00177FC5" w:rsidRDefault="00177FC5" w:rsidP="000A4BA0">
            <w:pPr>
              <w:jc w:val="center"/>
              <w:rPr>
                <w:rFonts w:ascii="宋体" w:hAnsi="宋体"/>
                <w:szCs w:val="21"/>
              </w:rPr>
            </w:pPr>
          </w:p>
        </w:tc>
        <w:tc>
          <w:tcPr>
            <w:tcW w:w="1096" w:type="dxa"/>
            <w:tcBorders>
              <w:top w:val="double" w:sz="4" w:space="0" w:color="auto"/>
              <w:left w:val="single" w:sz="4" w:space="0" w:color="auto"/>
              <w:bottom w:val="single" w:sz="4" w:space="0" w:color="auto"/>
              <w:right w:val="single" w:sz="4" w:space="0" w:color="auto"/>
            </w:tcBorders>
            <w:vAlign w:val="center"/>
          </w:tcPr>
          <w:p w:rsidR="00177FC5" w:rsidRDefault="00177FC5" w:rsidP="000A4BA0">
            <w:pPr>
              <w:jc w:val="center"/>
              <w:rPr>
                <w:rFonts w:ascii="宋体" w:hAnsi="宋体"/>
                <w:szCs w:val="21"/>
              </w:rPr>
            </w:pPr>
            <w:r>
              <w:rPr>
                <w:rFonts w:ascii="宋体" w:hAnsi="宋体" w:hint="eastAsia"/>
                <w:szCs w:val="21"/>
              </w:rPr>
              <w:t>性  别</w:t>
            </w:r>
          </w:p>
        </w:tc>
        <w:tc>
          <w:tcPr>
            <w:tcW w:w="1430" w:type="dxa"/>
            <w:gridSpan w:val="3"/>
            <w:tcBorders>
              <w:top w:val="double" w:sz="4" w:space="0" w:color="auto"/>
              <w:left w:val="single" w:sz="4" w:space="0" w:color="auto"/>
              <w:bottom w:val="single" w:sz="4" w:space="0" w:color="auto"/>
              <w:right w:val="single" w:sz="4" w:space="0" w:color="auto"/>
            </w:tcBorders>
            <w:vAlign w:val="center"/>
          </w:tcPr>
          <w:p w:rsidR="00177FC5" w:rsidRDefault="00177FC5" w:rsidP="000A4BA0">
            <w:pPr>
              <w:jc w:val="center"/>
              <w:rPr>
                <w:rFonts w:ascii="宋体" w:hAnsi="宋体"/>
                <w:szCs w:val="21"/>
              </w:rPr>
            </w:pPr>
          </w:p>
        </w:tc>
        <w:tc>
          <w:tcPr>
            <w:tcW w:w="1260" w:type="dxa"/>
            <w:gridSpan w:val="2"/>
            <w:tcBorders>
              <w:top w:val="double" w:sz="4" w:space="0" w:color="auto"/>
              <w:left w:val="single" w:sz="4" w:space="0" w:color="auto"/>
              <w:bottom w:val="single" w:sz="4" w:space="0" w:color="auto"/>
              <w:right w:val="single" w:sz="4" w:space="0" w:color="auto"/>
            </w:tcBorders>
            <w:vAlign w:val="center"/>
          </w:tcPr>
          <w:p w:rsidR="00177FC5" w:rsidRDefault="00177FC5" w:rsidP="000A4BA0">
            <w:pPr>
              <w:jc w:val="center"/>
              <w:rPr>
                <w:rFonts w:ascii="宋体" w:hAnsi="宋体"/>
                <w:szCs w:val="21"/>
              </w:rPr>
            </w:pPr>
            <w:r>
              <w:rPr>
                <w:rFonts w:ascii="宋体" w:hAnsi="宋体" w:hint="eastAsia"/>
                <w:szCs w:val="21"/>
              </w:rPr>
              <w:t>民   族</w:t>
            </w:r>
          </w:p>
        </w:tc>
        <w:tc>
          <w:tcPr>
            <w:tcW w:w="1080" w:type="dxa"/>
            <w:tcBorders>
              <w:top w:val="double" w:sz="4" w:space="0" w:color="auto"/>
              <w:left w:val="single" w:sz="4" w:space="0" w:color="auto"/>
              <w:bottom w:val="single" w:sz="4" w:space="0" w:color="auto"/>
              <w:right w:val="single" w:sz="4" w:space="0" w:color="auto"/>
            </w:tcBorders>
            <w:vAlign w:val="center"/>
          </w:tcPr>
          <w:p w:rsidR="00177FC5" w:rsidRDefault="00177FC5" w:rsidP="000A4BA0">
            <w:pPr>
              <w:jc w:val="center"/>
              <w:rPr>
                <w:rFonts w:ascii="宋体" w:hAnsi="宋体"/>
                <w:szCs w:val="21"/>
              </w:rPr>
            </w:pPr>
          </w:p>
        </w:tc>
        <w:tc>
          <w:tcPr>
            <w:tcW w:w="2042" w:type="dxa"/>
            <w:gridSpan w:val="2"/>
            <w:vMerge w:val="restart"/>
            <w:tcBorders>
              <w:top w:val="double" w:sz="4" w:space="0" w:color="auto"/>
              <w:left w:val="single" w:sz="4" w:space="0" w:color="auto"/>
              <w:bottom w:val="single" w:sz="4" w:space="0" w:color="auto"/>
              <w:right w:val="single" w:sz="4" w:space="0" w:color="auto"/>
            </w:tcBorders>
            <w:vAlign w:val="center"/>
          </w:tcPr>
          <w:p w:rsidR="00177FC5" w:rsidRDefault="00177FC5" w:rsidP="000A4BA0">
            <w:pPr>
              <w:jc w:val="center"/>
              <w:rPr>
                <w:rFonts w:ascii="宋体" w:hAnsi="宋体"/>
                <w:szCs w:val="21"/>
              </w:rPr>
            </w:pPr>
          </w:p>
        </w:tc>
      </w:tr>
      <w:tr w:rsidR="00177FC5" w:rsidTr="000A4BA0">
        <w:trPr>
          <w:trHeight w:val="590"/>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177FC5" w:rsidRDefault="00177FC5" w:rsidP="000A4BA0">
            <w:pPr>
              <w:jc w:val="center"/>
              <w:rPr>
                <w:rFonts w:ascii="宋体" w:hAnsi="宋体"/>
                <w:szCs w:val="21"/>
              </w:rPr>
            </w:pPr>
            <w:r>
              <w:rPr>
                <w:rFonts w:ascii="宋体" w:hAnsi="宋体" w:hint="eastAsia"/>
                <w:szCs w:val="21"/>
              </w:rPr>
              <w:lastRenderedPageBreak/>
              <w:t>出生日期</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177FC5" w:rsidRDefault="00177FC5" w:rsidP="000A4BA0">
            <w:pPr>
              <w:jc w:val="center"/>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177FC5" w:rsidRDefault="00177FC5" w:rsidP="000A4BA0">
            <w:pPr>
              <w:jc w:val="center"/>
              <w:rPr>
                <w:rFonts w:ascii="宋体" w:hAnsi="宋体"/>
                <w:szCs w:val="21"/>
              </w:rPr>
            </w:pPr>
            <w:r>
              <w:rPr>
                <w:rFonts w:ascii="宋体" w:hAnsi="宋体" w:hint="eastAsia"/>
                <w:szCs w:val="21"/>
              </w:rPr>
              <w:t>籍  贯</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177FC5" w:rsidRDefault="00177FC5" w:rsidP="000A4BA0">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77FC5" w:rsidRDefault="00177FC5" w:rsidP="000A4BA0">
            <w:pPr>
              <w:jc w:val="center"/>
              <w:rPr>
                <w:rFonts w:ascii="宋体" w:hAnsi="宋体"/>
                <w:szCs w:val="21"/>
              </w:rPr>
            </w:pPr>
            <w:r>
              <w:rPr>
                <w:rFonts w:ascii="宋体" w:hAnsi="宋体" w:hint="eastAsia"/>
                <w:szCs w:val="21"/>
              </w:rPr>
              <w:t>政治面貌</w:t>
            </w:r>
          </w:p>
        </w:tc>
        <w:tc>
          <w:tcPr>
            <w:tcW w:w="1080" w:type="dxa"/>
            <w:tcBorders>
              <w:top w:val="single" w:sz="4" w:space="0" w:color="auto"/>
              <w:left w:val="single" w:sz="4" w:space="0" w:color="auto"/>
              <w:bottom w:val="single" w:sz="4" w:space="0" w:color="auto"/>
              <w:right w:val="single" w:sz="4" w:space="0" w:color="auto"/>
            </w:tcBorders>
            <w:vAlign w:val="center"/>
          </w:tcPr>
          <w:p w:rsidR="00177FC5" w:rsidRDefault="00177FC5" w:rsidP="000A4BA0">
            <w:pPr>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177FC5" w:rsidRDefault="00177FC5" w:rsidP="000A4BA0">
            <w:pPr>
              <w:widowControl/>
              <w:jc w:val="center"/>
              <w:rPr>
                <w:rFonts w:ascii="宋体" w:hAnsi="宋体"/>
                <w:szCs w:val="21"/>
              </w:rPr>
            </w:pPr>
          </w:p>
        </w:tc>
      </w:tr>
      <w:tr w:rsidR="00177FC5" w:rsidTr="000A4BA0">
        <w:trPr>
          <w:trHeight w:val="608"/>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177FC5" w:rsidRDefault="00177FC5" w:rsidP="000A4BA0">
            <w:pPr>
              <w:spacing w:line="300" w:lineRule="exact"/>
              <w:jc w:val="center"/>
              <w:rPr>
                <w:rFonts w:ascii="宋体" w:hAnsi="宋体"/>
                <w:szCs w:val="21"/>
              </w:rPr>
            </w:pPr>
            <w:r>
              <w:rPr>
                <w:rFonts w:ascii="宋体" w:hAnsi="宋体" w:hint="eastAsia"/>
                <w:szCs w:val="21"/>
              </w:rPr>
              <w:t>本科毕业学校</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300" w:lineRule="exact"/>
              <w:jc w:val="center"/>
              <w:rPr>
                <w:rFonts w:ascii="宋体" w:hAnsi="宋体"/>
                <w:szCs w:val="21"/>
              </w:rPr>
            </w:pPr>
            <w:r>
              <w:rPr>
                <w:rFonts w:ascii="宋体" w:hAnsi="宋体" w:hint="eastAsia"/>
                <w:szCs w:val="21"/>
              </w:rPr>
              <w:t>所学专业</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177FC5" w:rsidRDefault="00177FC5" w:rsidP="000A4BA0">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177FC5" w:rsidRDefault="00177FC5" w:rsidP="000A4BA0">
            <w:pPr>
              <w:widowControl/>
              <w:spacing w:line="300" w:lineRule="exact"/>
              <w:jc w:val="center"/>
              <w:rPr>
                <w:rFonts w:ascii="宋体" w:hAnsi="宋体"/>
                <w:szCs w:val="21"/>
              </w:rPr>
            </w:pPr>
          </w:p>
        </w:tc>
      </w:tr>
      <w:tr w:rsidR="00177FC5" w:rsidTr="000A4BA0">
        <w:trPr>
          <w:trHeight w:val="63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177FC5" w:rsidRDefault="00177FC5" w:rsidP="000A4BA0">
            <w:pPr>
              <w:spacing w:line="300" w:lineRule="exact"/>
              <w:jc w:val="center"/>
              <w:rPr>
                <w:rFonts w:ascii="宋体" w:hAnsi="宋体"/>
                <w:szCs w:val="21"/>
              </w:rPr>
            </w:pPr>
            <w:r>
              <w:rPr>
                <w:rFonts w:ascii="宋体" w:hAnsi="宋体" w:hint="eastAsia"/>
                <w:szCs w:val="21"/>
              </w:rPr>
              <w:t>联系电话</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300" w:lineRule="exact"/>
              <w:jc w:val="center"/>
              <w:rPr>
                <w:rFonts w:ascii="宋体" w:hAnsi="宋体"/>
                <w:szCs w:val="21"/>
              </w:rPr>
            </w:pPr>
            <w:r>
              <w:rPr>
                <w:rFonts w:ascii="宋体" w:hAnsi="宋体" w:hint="eastAsia"/>
                <w:szCs w:val="21"/>
              </w:rPr>
              <w:t>身份证号</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177FC5" w:rsidRDefault="00177FC5" w:rsidP="000A4BA0">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177FC5" w:rsidRDefault="00177FC5" w:rsidP="000A4BA0">
            <w:pPr>
              <w:widowControl/>
              <w:spacing w:line="300" w:lineRule="exact"/>
              <w:jc w:val="center"/>
              <w:rPr>
                <w:rFonts w:ascii="宋体" w:hAnsi="宋体"/>
                <w:szCs w:val="21"/>
              </w:rPr>
            </w:pPr>
          </w:p>
        </w:tc>
      </w:tr>
      <w:tr w:rsidR="00177FC5" w:rsidTr="000A4BA0">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177FC5" w:rsidRDefault="00177FC5" w:rsidP="000A4BA0">
            <w:pPr>
              <w:spacing w:line="300" w:lineRule="exact"/>
              <w:jc w:val="center"/>
              <w:rPr>
                <w:rFonts w:ascii="宋体" w:hAnsi="宋体"/>
                <w:szCs w:val="21"/>
              </w:rPr>
            </w:pPr>
            <w:r>
              <w:rPr>
                <w:rFonts w:ascii="宋体" w:hAnsi="宋体" w:hint="eastAsia"/>
                <w:szCs w:val="21"/>
              </w:rPr>
              <w:t>邮箱地址</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300" w:lineRule="exact"/>
              <w:jc w:val="center"/>
              <w:rPr>
                <w:rFonts w:ascii="宋体" w:hAnsi="宋体"/>
                <w:szCs w:val="21"/>
              </w:rPr>
            </w:pPr>
            <w:r>
              <w:rPr>
                <w:rFonts w:ascii="宋体" w:hAnsi="宋体" w:hint="eastAsia"/>
                <w:szCs w:val="21"/>
              </w:rPr>
              <w:t>爱好、特长</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177FC5" w:rsidRDefault="00177FC5" w:rsidP="000A4BA0">
            <w:pPr>
              <w:widowControl/>
              <w:spacing w:line="300" w:lineRule="exact"/>
              <w:jc w:val="center"/>
              <w:rPr>
                <w:rFonts w:ascii="宋体" w:hAnsi="宋体"/>
                <w:szCs w:val="21"/>
              </w:rPr>
            </w:pPr>
          </w:p>
        </w:tc>
      </w:tr>
      <w:tr w:rsidR="00177FC5" w:rsidTr="000A4BA0">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177FC5" w:rsidRDefault="00177FC5" w:rsidP="000A4BA0">
            <w:pPr>
              <w:spacing w:line="300" w:lineRule="exact"/>
              <w:jc w:val="center"/>
              <w:rPr>
                <w:rFonts w:ascii="宋体" w:hAnsi="宋体"/>
                <w:szCs w:val="21"/>
              </w:rPr>
            </w:pPr>
            <w:r>
              <w:rPr>
                <w:rFonts w:ascii="宋体" w:hAnsi="宋体" w:hint="eastAsia"/>
                <w:szCs w:val="21"/>
              </w:rPr>
              <w:t>参加工作时间</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300" w:lineRule="exact"/>
              <w:jc w:val="center"/>
              <w:rPr>
                <w:rFonts w:ascii="宋体" w:hAnsi="宋体"/>
                <w:szCs w:val="21"/>
              </w:rPr>
            </w:pPr>
            <w:r>
              <w:rPr>
                <w:rFonts w:ascii="宋体" w:hAnsi="宋体" w:hint="eastAsia"/>
                <w:szCs w:val="21"/>
              </w:rPr>
              <w:t>通讯地址</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177FC5" w:rsidRDefault="00177FC5" w:rsidP="000A4BA0">
            <w:pPr>
              <w:widowControl/>
              <w:spacing w:line="300" w:lineRule="exact"/>
              <w:jc w:val="center"/>
              <w:rPr>
                <w:rFonts w:ascii="宋体" w:hAnsi="宋体"/>
                <w:szCs w:val="21"/>
              </w:rPr>
            </w:pPr>
          </w:p>
        </w:tc>
      </w:tr>
      <w:tr w:rsidR="00177FC5" w:rsidTr="000A4BA0">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177FC5" w:rsidRDefault="00177FC5" w:rsidP="000A4BA0">
            <w:pPr>
              <w:spacing w:line="300" w:lineRule="exact"/>
              <w:ind w:firstLineChars="50" w:firstLine="105"/>
              <w:jc w:val="center"/>
              <w:rPr>
                <w:rFonts w:ascii="宋体" w:hAnsi="宋体"/>
                <w:szCs w:val="21"/>
              </w:rPr>
            </w:pPr>
            <w:r>
              <w:rPr>
                <w:rFonts w:ascii="宋体" w:hAnsi="宋体" w:hint="eastAsia"/>
                <w:szCs w:val="21"/>
              </w:rPr>
              <w:t>现工作单位</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300" w:lineRule="exact"/>
              <w:jc w:val="center"/>
              <w:rPr>
                <w:rFonts w:ascii="宋体" w:hAnsi="宋体"/>
                <w:szCs w:val="21"/>
              </w:rPr>
            </w:pPr>
            <w:r>
              <w:rPr>
                <w:rFonts w:ascii="宋体" w:hAnsi="宋体" w:hint="eastAsia"/>
                <w:szCs w:val="21"/>
              </w:rPr>
              <w:t>职务</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177FC5" w:rsidRDefault="00177FC5" w:rsidP="000A4BA0">
            <w:pPr>
              <w:spacing w:line="300" w:lineRule="exact"/>
              <w:jc w:val="center"/>
              <w:rPr>
                <w:rFonts w:ascii="宋体" w:hAnsi="宋体"/>
                <w:szCs w:val="21"/>
              </w:rPr>
            </w:pPr>
          </w:p>
        </w:tc>
      </w:tr>
      <w:tr w:rsidR="00177FC5" w:rsidTr="000A4BA0">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177FC5" w:rsidRDefault="00177FC5" w:rsidP="000A4BA0">
            <w:pPr>
              <w:spacing w:line="300" w:lineRule="exact"/>
              <w:ind w:firstLineChars="50" w:firstLine="105"/>
              <w:jc w:val="center"/>
              <w:rPr>
                <w:rFonts w:ascii="宋体" w:hAnsi="宋体"/>
                <w:szCs w:val="21"/>
              </w:rPr>
            </w:pPr>
            <w:r>
              <w:rPr>
                <w:rFonts w:ascii="宋体" w:hAnsi="宋体" w:hint="eastAsia"/>
                <w:szCs w:val="21"/>
              </w:rPr>
              <w:t xml:space="preserve"> 本科学位证编号</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300" w:lineRule="exact"/>
              <w:jc w:val="center"/>
              <w:rPr>
                <w:rFonts w:ascii="宋体" w:hAnsi="宋体"/>
                <w:szCs w:val="21"/>
              </w:rPr>
            </w:pPr>
            <w:r>
              <w:rPr>
                <w:rFonts w:ascii="宋体" w:hAnsi="宋体" w:hint="eastAsia"/>
                <w:szCs w:val="21"/>
              </w:rPr>
              <w:t>学位证发证 时间</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177FC5" w:rsidRDefault="00177FC5" w:rsidP="000A4BA0">
            <w:pPr>
              <w:spacing w:line="300" w:lineRule="exact"/>
              <w:jc w:val="center"/>
              <w:rPr>
                <w:rFonts w:ascii="宋体" w:hAnsi="宋体"/>
                <w:szCs w:val="21"/>
              </w:rPr>
            </w:pPr>
          </w:p>
        </w:tc>
      </w:tr>
      <w:tr w:rsidR="00177FC5" w:rsidTr="000A4BA0">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177FC5" w:rsidRDefault="00177FC5" w:rsidP="000A4BA0">
            <w:pPr>
              <w:spacing w:line="480" w:lineRule="exact"/>
              <w:jc w:val="center"/>
              <w:rPr>
                <w:rFonts w:ascii="宋体" w:hAnsi="宋体"/>
                <w:b/>
                <w:szCs w:val="21"/>
              </w:rPr>
            </w:pPr>
            <w:r>
              <w:rPr>
                <w:rFonts w:ascii="宋体" w:hAnsi="宋体" w:hint="eastAsia"/>
                <w:b/>
                <w:szCs w:val="21"/>
              </w:rPr>
              <w:t>教育、工作经历（从大学填起）</w:t>
            </w:r>
          </w:p>
        </w:tc>
      </w:tr>
      <w:tr w:rsidR="00177FC5" w:rsidTr="000A4BA0">
        <w:trPr>
          <w:trHeight w:val="504"/>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177FC5" w:rsidRDefault="00177FC5" w:rsidP="000A4BA0">
            <w:pPr>
              <w:jc w:val="center"/>
              <w:rPr>
                <w:rFonts w:ascii="宋体" w:hAnsi="宋体"/>
                <w:szCs w:val="21"/>
              </w:rPr>
            </w:pPr>
            <w:r>
              <w:rPr>
                <w:rFonts w:ascii="宋体" w:hAnsi="宋体" w:hint="eastAsia"/>
                <w:szCs w:val="21"/>
              </w:rPr>
              <w:t>起止年月</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480" w:lineRule="exact"/>
              <w:jc w:val="center"/>
              <w:rPr>
                <w:rFonts w:ascii="宋体" w:hAnsi="宋体"/>
                <w:szCs w:val="21"/>
              </w:rPr>
            </w:pPr>
            <w:r>
              <w:rPr>
                <w:rFonts w:ascii="宋体" w:hAnsi="宋体" w:hint="eastAsia"/>
                <w:szCs w:val="21"/>
              </w:rPr>
              <w:t>学习或工作单位（学习期间请注明学校、学科专业）</w:t>
            </w:r>
          </w:p>
        </w:tc>
        <w:tc>
          <w:tcPr>
            <w:tcW w:w="1659" w:type="dxa"/>
            <w:tcBorders>
              <w:top w:val="single" w:sz="4" w:space="0" w:color="auto"/>
              <w:left w:val="single" w:sz="4" w:space="0" w:color="auto"/>
              <w:bottom w:val="single" w:sz="4" w:space="0" w:color="auto"/>
              <w:right w:val="double" w:sz="4" w:space="0" w:color="auto"/>
            </w:tcBorders>
            <w:vAlign w:val="center"/>
          </w:tcPr>
          <w:p w:rsidR="00177FC5" w:rsidRDefault="00177FC5" w:rsidP="000A4BA0">
            <w:pPr>
              <w:spacing w:line="480" w:lineRule="exact"/>
              <w:jc w:val="center"/>
              <w:rPr>
                <w:rFonts w:ascii="宋体" w:hAnsi="宋体"/>
                <w:szCs w:val="21"/>
              </w:rPr>
            </w:pPr>
            <w:r>
              <w:rPr>
                <w:rFonts w:ascii="宋体" w:hAnsi="宋体" w:hint="eastAsia"/>
                <w:szCs w:val="21"/>
              </w:rPr>
              <w:t>任何职务</w:t>
            </w:r>
          </w:p>
        </w:tc>
      </w:tr>
      <w:tr w:rsidR="00177FC5" w:rsidTr="000A4BA0">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177FC5" w:rsidRDefault="00177FC5" w:rsidP="000A4BA0">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177FC5" w:rsidRDefault="00177FC5" w:rsidP="000A4BA0">
            <w:pPr>
              <w:spacing w:line="480" w:lineRule="exact"/>
              <w:jc w:val="center"/>
              <w:rPr>
                <w:rFonts w:ascii="宋体" w:hAnsi="宋体"/>
                <w:szCs w:val="21"/>
              </w:rPr>
            </w:pPr>
          </w:p>
        </w:tc>
      </w:tr>
      <w:tr w:rsidR="00177FC5" w:rsidTr="000A4BA0">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177FC5" w:rsidRDefault="00177FC5" w:rsidP="000A4BA0">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177FC5" w:rsidRDefault="00177FC5" w:rsidP="000A4BA0">
            <w:pPr>
              <w:spacing w:line="480" w:lineRule="exact"/>
              <w:jc w:val="center"/>
              <w:rPr>
                <w:rFonts w:ascii="宋体" w:hAnsi="宋体"/>
                <w:szCs w:val="21"/>
              </w:rPr>
            </w:pPr>
          </w:p>
        </w:tc>
      </w:tr>
      <w:tr w:rsidR="00177FC5" w:rsidTr="000A4BA0">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177FC5" w:rsidRDefault="00177FC5" w:rsidP="000A4BA0">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177FC5" w:rsidRDefault="00177FC5" w:rsidP="000A4BA0">
            <w:pPr>
              <w:spacing w:line="480" w:lineRule="exact"/>
              <w:jc w:val="center"/>
              <w:rPr>
                <w:rFonts w:ascii="宋体" w:hAnsi="宋体"/>
                <w:szCs w:val="21"/>
              </w:rPr>
            </w:pPr>
          </w:p>
        </w:tc>
      </w:tr>
      <w:tr w:rsidR="00177FC5" w:rsidTr="000A4BA0">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177FC5" w:rsidRDefault="00177FC5" w:rsidP="000A4BA0">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177FC5" w:rsidRDefault="00177FC5" w:rsidP="000A4BA0">
            <w:pPr>
              <w:spacing w:line="480" w:lineRule="exact"/>
              <w:jc w:val="center"/>
              <w:rPr>
                <w:rFonts w:ascii="宋体" w:hAnsi="宋体"/>
                <w:szCs w:val="21"/>
              </w:rPr>
            </w:pPr>
          </w:p>
        </w:tc>
      </w:tr>
      <w:tr w:rsidR="00177FC5" w:rsidTr="000A4BA0">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177FC5" w:rsidRDefault="00177FC5" w:rsidP="000A4BA0">
            <w:pPr>
              <w:spacing w:line="480" w:lineRule="exact"/>
              <w:jc w:val="center"/>
              <w:rPr>
                <w:rFonts w:ascii="宋体" w:hAnsi="宋体"/>
                <w:b/>
                <w:szCs w:val="21"/>
              </w:rPr>
            </w:pPr>
            <w:r>
              <w:rPr>
                <w:rFonts w:ascii="宋体" w:hAnsi="宋体" w:hint="eastAsia"/>
                <w:b/>
                <w:szCs w:val="21"/>
              </w:rPr>
              <w:t>家庭主要成员</w:t>
            </w:r>
          </w:p>
        </w:tc>
      </w:tr>
      <w:tr w:rsidR="00177FC5" w:rsidTr="000A4BA0">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177FC5" w:rsidRDefault="00177FC5" w:rsidP="000A4BA0">
            <w:pPr>
              <w:jc w:val="center"/>
              <w:rPr>
                <w:rFonts w:ascii="宋体" w:hAnsi="宋体"/>
                <w:szCs w:val="21"/>
              </w:rPr>
            </w:pPr>
            <w:r>
              <w:rPr>
                <w:rFonts w:ascii="宋体" w:hAnsi="宋体" w:hint="eastAsia"/>
                <w:szCs w:val="21"/>
              </w:rPr>
              <w:t>姓  名</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480" w:lineRule="exact"/>
              <w:jc w:val="center"/>
              <w:rPr>
                <w:rFonts w:ascii="宋体" w:hAnsi="宋体"/>
                <w:szCs w:val="21"/>
              </w:rPr>
            </w:pPr>
            <w:r>
              <w:rPr>
                <w:rFonts w:ascii="宋体" w:hAnsi="宋体" w:hint="eastAsia"/>
                <w:szCs w:val="21"/>
              </w:rPr>
              <w:t>称谓</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480" w:lineRule="exact"/>
              <w:jc w:val="center"/>
              <w:rPr>
                <w:rFonts w:ascii="宋体" w:hAnsi="宋体"/>
                <w:szCs w:val="21"/>
              </w:rPr>
            </w:pPr>
            <w:r>
              <w:rPr>
                <w:rFonts w:ascii="宋体" w:hAnsi="宋体" w:hint="eastAsia"/>
                <w:szCs w:val="21"/>
              </w:rPr>
              <w:t>出生年月</w:t>
            </w: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480" w:lineRule="exact"/>
              <w:jc w:val="center"/>
              <w:rPr>
                <w:rFonts w:ascii="宋体" w:hAnsi="宋体"/>
                <w:szCs w:val="21"/>
              </w:rPr>
            </w:pPr>
            <w:r>
              <w:rPr>
                <w:rFonts w:ascii="宋体" w:hAnsi="宋体" w:hint="eastAsia"/>
                <w:szCs w:val="21"/>
              </w:rPr>
              <w:t>在何单位工作、任何职务</w:t>
            </w:r>
          </w:p>
        </w:tc>
        <w:tc>
          <w:tcPr>
            <w:tcW w:w="1659" w:type="dxa"/>
            <w:tcBorders>
              <w:top w:val="single" w:sz="4" w:space="0" w:color="auto"/>
              <w:left w:val="single" w:sz="4" w:space="0" w:color="auto"/>
              <w:bottom w:val="single" w:sz="4" w:space="0" w:color="auto"/>
              <w:right w:val="double" w:sz="4" w:space="0" w:color="auto"/>
            </w:tcBorders>
            <w:vAlign w:val="center"/>
          </w:tcPr>
          <w:p w:rsidR="00177FC5" w:rsidRDefault="00177FC5" w:rsidP="000A4BA0">
            <w:pPr>
              <w:spacing w:line="480" w:lineRule="exact"/>
              <w:jc w:val="center"/>
              <w:rPr>
                <w:rFonts w:ascii="宋体" w:hAnsi="宋体"/>
                <w:szCs w:val="21"/>
              </w:rPr>
            </w:pPr>
            <w:r>
              <w:rPr>
                <w:rFonts w:ascii="宋体" w:hAnsi="宋体" w:hint="eastAsia"/>
                <w:szCs w:val="21"/>
              </w:rPr>
              <w:t>联系电话</w:t>
            </w:r>
          </w:p>
        </w:tc>
      </w:tr>
      <w:tr w:rsidR="00177FC5" w:rsidTr="000A4BA0">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177FC5" w:rsidRDefault="00177FC5" w:rsidP="000A4BA0">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177FC5" w:rsidRDefault="00177FC5" w:rsidP="000A4BA0">
            <w:pPr>
              <w:spacing w:line="480" w:lineRule="exact"/>
              <w:jc w:val="center"/>
              <w:rPr>
                <w:rFonts w:ascii="宋体" w:hAnsi="宋体"/>
                <w:szCs w:val="21"/>
              </w:rPr>
            </w:pPr>
          </w:p>
        </w:tc>
      </w:tr>
      <w:tr w:rsidR="00177FC5" w:rsidTr="000A4BA0">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177FC5" w:rsidRDefault="00177FC5" w:rsidP="000A4BA0">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177FC5" w:rsidRDefault="00177FC5"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177FC5" w:rsidRDefault="00177FC5" w:rsidP="000A4BA0">
            <w:pPr>
              <w:spacing w:line="480" w:lineRule="exact"/>
              <w:jc w:val="center"/>
              <w:rPr>
                <w:rFonts w:ascii="宋体" w:hAnsi="宋体"/>
                <w:szCs w:val="21"/>
              </w:rPr>
            </w:pPr>
          </w:p>
        </w:tc>
      </w:tr>
      <w:tr w:rsidR="00177FC5" w:rsidTr="000A4BA0">
        <w:trPr>
          <w:trHeight w:val="1356"/>
          <w:jc w:val="center"/>
        </w:trPr>
        <w:tc>
          <w:tcPr>
            <w:tcW w:w="5113" w:type="dxa"/>
            <w:gridSpan w:val="8"/>
            <w:vMerge w:val="restart"/>
            <w:tcBorders>
              <w:top w:val="single" w:sz="4" w:space="0" w:color="auto"/>
              <w:left w:val="double" w:sz="4" w:space="0" w:color="auto"/>
              <w:right w:val="single" w:sz="4" w:space="0" w:color="auto"/>
            </w:tcBorders>
          </w:tcPr>
          <w:p w:rsidR="00177FC5" w:rsidRDefault="00177FC5" w:rsidP="000A4BA0">
            <w:pPr>
              <w:spacing w:line="480" w:lineRule="exact"/>
              <w:ind w:firstLineChars="150" w:firstLine="315"/>
              <w:rPr>
                <w:rFonts w:ascii="宋体" w:hAnsi="宋体"/>
                <w:szCs w:val="21"/>
              </w:rPr>
            </w:pPr>
            <w:r>
              <w:rPr>
                <w:rFonts w:ascii="宋体" w:hAnsi="宋体" w:hint="eastAsia"/>
                <w:szCs w:val="21"/>
              </w:rPr>
              <w:t xml:space="preserve"> 本人已认真阅读并清楚招生简章的所有内容，所有费用一经交纳，不予退回。本表格中填写的内容真实有效，无虚假信息，愿对所填内容负责。</w:t>
            </w:r>
          </w:p>
          <w:p w:rsidR="00177FC5" w:rsidRDefault="00177FC5" w:rsidP="000A4BA0">
            <w:pPr>
              <w:ind w:firstLineChars="150" w:firstLine="315"/>
              <w:rPr>
                <w:rFonts w:ascii="宋体" w:hAnsi="宋体"/>
                <w:szCs w:val="21"/>
              </w:rPr>
            </w:pPr>
          </w:p>
          <w:p w:rsidR="00177FC5" w:rsidRDefault="00177FC5" w:rsidP="000A4BA0">
            <w:pPr>
              <w:ind w:firstLineChars="950" w:firstLine="1995"/>
              <w:rPr>
                <w:rFonts w:ascii="宋体" w:hAnsi="宋体"/>
                <w:szCs w:val="21"/>
                <w:u w:val="single"/>
              </w:rPr>
            </w:pPr>
            <w:r>
              <w:rPr>
                <w:rFonts w:ascii="宋体" w:hAnsi="宋体" w:hint="eastAsia"/>
                <w:szCs w:val="21"/>
              </w:rPr>
              <w:t>签名：</w:t>
            </w:r>
            <w:r>
              <w:rPr>
                <w:rFonts w:ascii="宋体" w:hAnsi="宋体" w:hint="eastAsia"/>
                <w:szCs w:val="21"/>
                <w:u w:val="single"/>
              </w:rPr>
              <w:t xml:space="preserve">                  </w:t>
            </w:r>
          </w:p>
          <w:p w:rsidR="00177FC5" w:rsidRDefault="00177FC5" w:rsidP="000A4BA0">
            <w:pPr>
              <w:ind w:firstLineChars="1200" w:firstLine="2520"/>
              <w:rPr>
                <w:rFonts w:ascii="宋体" w:hAnsi="宋体"/>
                <w:szCs w:val="21"/>
              </w:rPr>
            </w:pPr>
          </w:p>
          <w:p w:rsidR="00177FC5" w:rsidRDefault="00177FC5" w:rsidP="000A4BA0">
            <w:pPr>
              <w:ind w:firstLineChars="1350" w:firstLine="2835"/>
              <w:rPr>
                <w:rFonts w:ascii="宋体" w:hAnsi="宋体"/>
                <w:szCs w:val="21"/>
              </w:rPr>
            </w:pPr>
            <w:r>
              <w:rPr>
                <w:rFonts w:ascii="宋体" w:hAnsi="宋体" w:hint="eastAsia"/>
                <w:szCs w:val="21"/>
              </w:rPr>
              <w:t>年     月     日</w:t>
            </w: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177FC5" w:rsidRDefault="00177FC5" w:rsidP="000A4BA0">
            <w:pPr>
              <w:rPr>
                <w:rFonts w:ascii="宋体" w:hAnsi="宋体"/>
                <w:szCs w:val="21"/>
              </w:rPr>
            </w:pPr>
            <w:r>
              <w:rPr>
                <w:rFonts w:ascii="宋体" w:hAnsi="宋体" w:hint="eastAsia"/>
                <w:szCs w:val="21"/>
              </w:rPr>
              <w:t>学院意见：</w:t>
            </w:r>
          </w:p>
          <w:p w:rsidR="00177FC5" w:rsidRDefault="00177FC5" w:rsidP="000A4BA0">
            <w:pPr>
              <w:jc w:val="center"/>
              <w:rPr>
                <w:rFonts w:ascii="宋体" w:hAnsi="宋体"/>
                <w:szCs w:val="21"/>
              </w:rPr>
            </w:pPr>
          </w:p>
          <w:p w:rsidR="00177FC5" w:rsidRDefault="00177FC5" w:rsidP="000A4BA0">
            <w:pPr>
              <w:jc w:val="center"/>
              <w:rPr>
                <w:rFonts w:ascii="宋体" w:hAnsi="宋体"/>
                <w:szCs w:val="21"/>
              </w:rPr>
            </w:pPr>
            <w:r>
              <w:rPr>
                <w:rFonts w:ascii="宋体" w:hAnsi="宋体" w:hint="eastAsia"/>
                <w:szCs w:val="21"/>
              </w:rPr>
              <w:t>公 章</w:t>
            </w:r>
          </w:p>
          <w:p w:rsidR="00177FC5" w:rsidRDefault="00177FC5" w:rsidP="000A4BA0">
            <w:pPr>
              <w:jc w:val="center"/>
              <w:rPr>
                <w:rFonts w:ascii="宋体" w:hAnsi="宋体"/>
                <w:szCs w:val="21"/>
              </w:rPr>
            </w:pPr>
            <w:r>
              <w:rPr>
                <w:rFonts w:ascii="宋体" w:hAnsi="宋体" w:hint="eastAsia"/>
                <w:szCs w:val="21"/>
              </w:rPr>
              <w:t xml:space="preserve">                           年    月     日</w:t>
            </w:r>
          </w:p>
        </w:tc>
      </w:tr>
      <w:tr w:rsidR="00177FC5" w:rsidTr="000A4BA0">
        <w:trPr>
          <w:trHeight w:val="1367"/>
          <w:jc w:val="center"/>
        </w:trPr>
        <w:tc>
          <w:tcPr>
            <w:tcW w:w="5113" w:type="dxa"/>
            <w:gridSpan w:val="8"/>
            <w:vMerge/>
            <w:tcBorders>
              <w:left w:val="double" w:sz="4" w:space="0" w:color="auto"/>
              <w:bottom w:val="double" w:sz="4" w:space="0" w:color="auto"/>
              <w:right w:val="single" w:sz="4" w:space="0" w:color="auto"/>
            </w:tcBorders>
            <w:vAlign w:val="center"/>
          </w:tcPr>
          <w:p w:rsidR="00177FC5" w:rsidRDefault="00177FC5" w:rsidP="000A4BA0">
            <w:pPr>
              <w:jc w:val="center"/>
              <w:rPr>
                <w:rFonts w:ascii="宋体" w:hAnsi="宋体"/>
                <w:szCs w:val="21"/>
              </w:rPr>
            </w:pP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177FC5" w:rsidRDefault="00177FC5" w:rsidP="000A4BA0">
            <w:pPr>
              <w:rPr>
                <w:rFonts w:ascii="宋体" w:hAnsi="宋体"/>
                <w:szCs w:val="21"/>
              </w:rPr>
            </w:pPr>
            <w:r>
              <w:rPr>
                <w:rFonts w:ascii="宋体" w:hAnsi="宋体" w:hint="eastAsia"/>
                <w:szCs w:val="21"/>
              </w:rPr>
              <w:t>研究生院审批：</w:t>
            </w:r>
          </w:p>
          <w:p w:rsidR="00177FC5" w:rsidRDefault="00177FC5" w:rsidP="000A4BA0">
            <w:pPr>
              <w:jc w:val="center"/>
              <w:rPr>
                <w:rFonts w:ascii="宋体" w:hAnsi="宋体"/>
                <w:szCs w:val="21"/>
              </w:rPr>
            </w:pPr>
            <w:r>
              <w:rPr>
                <w:rFonts w:ascii="宋体" w:hAnsi="宋体" w:hint="eastAsia"/>
                <w:szCs w:val="21"/>
              </w:rPr>
              <w:t>公 章</w:t>
            </w:r>
          </w:p>
          <w:p w:rsidR="00177FC5" w:rsidRDefault="00177FC5" w:rsidP="000A4BA0">
            <w:pPr>
              <w:jc w:val="center"/>
              <w:rPr>
                <w:rFonts w:ascii="宋体" w:hAnsi="宋体"/>
                <w:szCs w:val="21"/>
              </w:rPr>
            </w:pPr>
            <w:r>
              <w:rPr>
                <w:rFonts w:ascii="宋体" w:hAnsi="宋体" w:hint="eastAsia"/>
                <w:szCs w:val="21"/>
              </w:rPr>
              <w:t xml:space="preserve">                           年    月     日</w:t>
            </w:r>
          </w:p>
        </w:tc>
      </w:tr>
    </w:tbl>
    <w:p w:rsidR="00451074" w:rsidRPr="00177FC5" w:rsidRDefault="00451074">
      <w:pPr>
        <w:rPr>
          <w:rFonts w:ascii="仿宋" w:eastAsia="仿宋" w:hAnsi="仿宋"/>
          <w:sz w:val="32"/>
          <w:szCs w:val="32"/>
        </w:rPr>
      </w:pPr>
    </w:p>
    <w:sectPr w:rsidR="00451074" w:rsidRPr="00177FC5">
      <w:headerReference w:type="even" r:id="rId10"/>
      <w:headerReference w:type="default" r:id="rId11"/>
      <w:head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5E9" w:rsidRDefault="002B25E9">
      <w:r>
        <w:separator/>
      </w:r>
    </w:p>
  </w:endnote>
  <w:endnote w:type="continuationSeparator" w:id="0">
    <w:p w:rsidR="002B25E9" w:rsidRDefault="002B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华文行楷">
    <w:altName w:val="微软雅黑"/>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5E9" w:rsidRDefault="002B25E9">
      <w:r>
        <w:separator/>
      </w:r>
    </w:p>
  </w:footnote>
  <w:footnote w:type="continuationSeparator" w:id="0">
    <w:p w:rsidR="002B25E9" w:rsidRDefault="002B2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74" w:rsidRDefault="002B25E9">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left:0;text-align:left;margin-left:0;margin-top:0;width:655.85pt;height:550.1pt;z-index:-251657216;mso-position-horizontal:center;mso-position-horizontal-relative:margin;mso-position-vertical:center;mso-position-vertical-relative:margin;mso-width-relative:page;mso-height-relative:page" o:allowincell="f">
          <v:imagedata r:id="rId1" o:title="人大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74" w:rsidRDefault="002B25E9">
    <w:pPr>
      <w:pStyle w:val="a5"/>
    </w:pPr>
    <w:r>
      <w:rPr>
        <w:noProof/>
      </w:rPr>
      <w:drawing>
        <wp:inline distT="0" distB="0" distL="114300" distR="114300">
          <wp:extent cx="2054860" cy="513715"/>
          <wp:effectExtent l="0" t="0" r="2540" b="635"/>
          <wp:docPr id="5" name="图片 5" descr="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表头"/>
                  <pic:cNvPicPr>
                    <a:picLocks noChangeAspect="1"/>
                  </pic:cNvPicPr>
                </pic:nvPicPr>
                <pic:blipFill>
                  <a:blip r:embed="rId1"/>
                  <a:stretch>
                    <a:fillRect/>
                  </a:stretch>
                </pic:blipFill>
                <pic:spPr>
                  <a:xfrm>
                    <a:off x="0" y="0"/>
                    <a:ext cx="2054860" cy="513715"/>
                  </a:xfrm>
                  <a:prstGeom prst="rect">
                    <a:avLst/>
                  </a:prstGeom>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0;margin-top:0;width:655.85pt;height:550.1pt;z-index:-251656192;mso-position-horizontal:center;mso-position-horizontal-relative:margin;mso-position-vertical:center;mso-position-vertical-relative:margin;mso-width-relative:page;mso-height-relative:page" o:allowincell="f">
          <v:imagedata r:id="rId2" o:title="人大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74" w:rsidRDefault="002B25E9">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3073" type="#_x0000_t75" style="position:absolute;left:0;text-align:left;margin-left:0;margin-top:0;width:655.85pt;height:550.1pt;z-index:-251658240;mso-position-horizontal:center;mso-position-horizontal-relative:margin;mso-position-vertical:center;mso-position-vertical-relative:margin;mso-width-relative:page;mso-height-relative:page" o:allowincell="f">
          <v:imagedata r:id="rId1" o:title="人大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14CE6A"/>
    <w:multiLevelType w:val="singleLevel"/>
    <w:tmpl w:val="E814CE6A"/>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VerticalSpacing w:val="156"/>
  <w:noPunctuationKerning/>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AA"/>
    <w:rsid w:val="00132BDF"/>
    <w:rsid w:val="00146023"/>
    <w:rsid w:val="00177FC5"/>
    <w:rsid w:val="002B25E9"/>
    <w:rsid w:val="0037534F"/>
    <w:rsid w:val="003A6134"/>
    <w:rsid w:val="00451074"/>
    <w:rsid w:val="004D7110"/>
    <w:rsid w:val="00546F0A"/>
    <w:rsid w:val="005C7F3B"/>
    <w:rsid w:val="005F3AAA"/>
    <w:rsid w:val="0082720B"/>
    <w:rsid w:val="008B00FF"/>
    <w:rsid w:val="00B4108F"/>
    <w:rsid w:val="00E22565"/>
    <w:rsid w:val="00E56AD2"/>
    <w:rsid w:val="00ED0284"/>
    <w:rsid w:val="022A217F"/>
    <w:rsid w:val="07444732"/>
    <w:rsid w:val="29F45A25"/>
    <w:rsid w:val="33584A64"/>
    <w:rsid w:val="33CD48D1"/>
    <w:rsid w:val="3B440DD1"/>
    <w:rsid w:val="54CB63EB"/>
    <w:rsid w:val="602C2083"/>
    <w:rsid w:val="65FA4AAB"/>
    <w:rsid w:val="6FF86A0B"/>
    <w:rsid w:val="794B1097"/>
    <w:rsid w:val="7A700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rFonts w:ascii="微软雅黑" w:eastAsia="微软雅黑" w:hAnsi="微软雅黑" w:cs="微软雅黑" w:hint="eastAsia"/>
      <w:color w:val="707070"/>
      <w:u w:val="none"/>
    </w:rPr>
  </w:style>
  <w:style w:type="character" w:styleId="a8">
    <w:name w:val="Hyperlink"/>
    <w:basedOn w:val="a0"/>
    <w:uiPriority w:val="99"/>
    <w:semiHidden/>
    <w:unhideWhenUsed/>
    <w:qFormat/>
    <w:rPr>
      <w:rFonts w:ascii="微软雅黑" w:eastAsia="微软雅黑" w:hAnsi="微软雅黑" w:cs="微软雅黑"/>
      <w:color w:val="707070"/>
      <w:u w:val="none"/>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is1">
    <w:name w:val="is_1"/>
    <w:basedOn w:val="a0"/>
    <w:qFormat/>
    <w:rPr>
      <w:rFonts w:ascii="微软雅黑" w:eastAsia="微软雅黑" w:hAnsi="微软雅黑" w:cs="微软雅黑"/>
      <w:sz w:val="27"/>
      <w:szCs w:val="27"/>
    </w:rPr>
  </w:style>
  <w:style w:type="character" w:customStyle="1" w:styleId="is3">
    <w:name w:val="is_3"/>
    <w:basedOn w:val="a0"/>
    <w:qFormat/>
    <w:rPr>
      <w:rFonts w:ascii="微软雅黑" w:eastAsia="微软雅黑" w:hAnsi="微软雅黑" w:cs="微软雅黑" w:hint="eastAsia"/>
      <w:sz w:val="27"/>
      <w:szCs w:val="27"/>
    </w:rPr>
  </w:style>
  <w:style w:type="character" w:customStyle="1" w:styleId="is2">
    <w:name w:val="is_2"/>
    <w:basedOn w:val="a0"/>
    <w:qFormat/>
    <w:rPr>
      <w:rFonts w:ascii="微软雅黑" w:eastAsia="微软雅黑" w:hAnsi="微软雅黑" w:cs="微软雅黑" w:hint="eastAsia"/>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rFonts w:ascii="微软雅黑" w:eastAsia="微软雅黑" w:hAnsi="微软雅黑" w:cs="微软雅黑" w:hint="eastAsia"/>
      <w:color w:val="707070"/>
      <w:u w:val="none"/>
    </w:rPr>
  </w:style>
  <w:style w:type="character" w:styleId="a8">
    <w:name w:val="Hyperlink"/>
    <w:basedOn w:val="a0"/>
    <w:uiPriority w:val="99"/>
    <w:semiHidden/>
    <w:unhideWhenUsed/>
    <w:qFormat/>
    <w:rPr>
      <w:rFonts w:ascii="微软雅黑" w:eastAsia="微软雅黑" w:hAnsi="微软雅黑" w:cs="微软雅黑"/>
      <w:color w:val="707070"/>
      <w:u w:val="none"/>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is1">
    <w:name w:val="is_1"/>
    <w:basedOn w:val="a0"/>
    <w:qFormat/>
    <w:rPr>
      <w:rFonts w:ascii="微软雅黑" w:eastAsia="微软雅黑" w:hAnsi="微软雅黑" w:cs="微软雅黑"/>
      <w:sz w:val="27"/>
      <w:szCs w:val="27"/>
    </w:rPr>
  </w:style>
  <w:style w:type="character" w:customStyle="1" w:styleId="is3">
    <w:name w:val="is_3"/>
    <w:basedOn w:val="a0"/>
    <w:qFormat/>
    <w:rPr>
      <w:rFonts w:ascii="微软雅黑" w:eastAsia="微软雅黑" w:hAnsi="微软雅黑" w:cs="微软雅黑" w:hint="eastAsia"/>
      <w:sz w:val="27"/>
      <w:szCs w:val="27"/>
    </w:rPr>
  </w:style>
  <w:style w:type="character" w:customStyle="1" w:styleId="is2">
    <w:name w:val="is_2"/>
    <w:basedOn w:val="a0"/>
    <w:qFormat/>
    <w:rPr>
      <w:rFonts w:ascii="微软雅黑" w:eastAsia="微软雅黑" w:hAnsi="微软雅黑" w:cs="微软雅黑" w:hint="eastAsi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634</Words>
  <Characters>3615</Characters>
  <Application>Microsoft Office Word</Application>
  <DocSecurity>0</DocSecurity>
  <Lines>30</Lines>
  <Paragraphs>8</Paragraphs>
  <ScaleCrop>false</ScaleCrop>
  <Company>Sky123.Org</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2016-01-19T09:25:00Z</dcterms:created>
  <dcterms:modified xsi:type="dcterms:W3CDTF">2020-01-14T02:11:00Z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