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jc w:val="center"/>
        <w:textAlignment w:val="auto"/>
      </w:pPr>
      <w:r>
        <w:rPr>
          <w:color w:val="FF0000"/>
        </w:rPr>
        <w:t>烟台大学2023年中外合作办学“环境科学与工程（国际物质流管理）”硕士专业自主招生简介</w:t>
      </w:r>
      <w:r>
        <w:rPr>
          <w:rFonts w:ascii="宋体" w:hAnsi="宋体" w:eastAsia="宋体" w:cs="宋体"/>
          <w:kern w:val="0"/>
          <w:sz w:val="24"/>
          <w:szCs w:val="24"/>
          <w:lang w:val="en-US" w:eastAsia="zh-CN" w:bidi="ar"/>
        </w:rPr>
        <w:fldChar w:fldCharType="begin"/>
      </w:r>
      <w:r>
        <w:rPr>
          <w:rFonts w:ascii="宋体" w:hAnsi="宋体" w:eastAsia="宋体" w:cs="宋体"/>
          <w:kern w:val="0"/>
          <w:sz w:val="24"/>
          <w:szCs w:val="24"/>
          <w:lang w:val="en-US" w:eastAsia="zh-CN" w:bidi="ar"/>
        </w:rPr>
        <w:instrText xml:space="preserve"> HYPERLINK "http://www.jiathis.com/share" \t "https://trier.ytu.edu.cn/info/1062/_blank" </w:instrText>
      </w:r>
      <w:r>
        <w:rPr>
          <w:rFonts w:ascii="宋体" w:hAnsi="宋体" w:eastAsia="宋体" w:cs="宋体"/>
          <w:kern w:val="0"/>
          <w:sz w:val="24"/>
          <w:szCs w:val="24"/>
          <w:lang w:val="en-US" w:eastAsia="zh-CN" w:bidi="ar"/>
        </w:rPr>
        <w:fldChar w:fldCharType="separate"/>
      </w:r>
      <w:r>
        <w:rPr>
          <w:rFonts w:ascii="宋体" w:hAnsi="宋体" w:eastAsia="宋体" w:cs="宋体"/>
          <w:kern w:val="0"/>
          <w:sz w:val="24"/>
          <w:szCs w:val="24"/>
          <w:lang w:val="en-US" w:eastAsia="zh-CN" w:bidi="ar"/>
        </w:rPr>
        <w:fldChar w:fldCharType="end"/>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ascii="方正仿宋_gb2312" w:hAnsi="方正仿宋_gb2312" w:eastAsia="方正仿宋_gb2312" w:cs="方正仿宋_gb2312"/>
          <w:spacing w:val="30"/>
          <w:sz w:val="27"/>
          <w:szCs w:val="27"/>
          <w:shd w:val="clear" w:fill="FFFFFF"/>
        </w:rPr>
        <w:t>烟台大学特里尔可持续发展技术学院（简称“特里尔学院”）是中国教育部正式批准成立的非独立法人中外合作办学机构（教外函（2021）21号，许可证号MOE37DEA02DNR20212182N），由烟台大学与德国特里尔应用技术大学合作举办。学院设有“环境科学与工程（国际物质流管理）”硕士专业，实行全国统招（参加全国硕士研究生统一招生考试）与自主招生两种招生方式。</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hint="default" w:ascii="方正仿宋_gb2312" w:hAnsi="方正仿宋_gb2312" w:eastAsia="方正仿宋_gb2312" w:cs="方正仿宋_gb2312"/>
          <w:spacing w:val="30"/>
          <w:sz w:val="27"/>
          <w:szCs w:val="27"/>
          <w:shd w:val="clear" w:fill="FFFFFF"/>
        </w:rPr>
        <w:t>自主招生不参加全国硕士研究生统一招生考试。考生须参加烟台大学和德国特里尔应用技术大学联合组织的自主招生考试，通过初试和面试后择优录取，学制两年。学生完成培养计划并达到学位授予条件，可获得德国特里尔应用技术大学“国际物质流管理”理学硕士学位证书（Master of Science in International Material Flow Management）。</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jc w:val="both"/>
        <w:textAlignment w:val="auto"/>
      </w:pPr>
      <w:r>
        <w:rPr>
          <w:rStyle w:val="6"/>
          <w:rFonts w:ascii="fangsong_gb2312" w:hAnsi="fangsong_gb2312" w:eastAsia="fangsong_gb2312" w:cs="fangsong_gb2312"/>
          <w:sz w:val="31"/>
          <w:szCs w:val="31"/>
          <w:shd w:val="clear" w:fill="FFFFFF"/>
        </w:rPr>
        <w:t>一</w:t>
      </w:r>
      <w:r>
        <w:rPr>
          <w:rStyle w:val="6"/>
          <w:rFonts w:hint="default" w:ascii="fangsong_gb2312" w:hAnsi="fangsong_gb2312" w:eastAsia="fangsong_gb2312" w:cs="fangsong_gb2312"/>
          <w:color w:val="0E0E0E"/>
          <w:spacing w:val="30"/>
          <w:sz w:val="31"/>
          <w:szCs w:val="31"/>
          <w:shd w:val="clear" w:fill="FFFFFF"/>
        </w:rPr>
        <w:t>、合作学校</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ascii="方正仿宋_gb2312" w:hAnsi="方正仿宋_gb2312" w:eastAsia="方正仿宋_gb2312" w:cs="方正仿宋_gb2312"/>
          <w:spacing w:val="30"/>
          <w:sz w:val="27"/>
          <w:szCs w:val="27"/>
          <w:shd w:val="clear" w:fill="FFFFFF"/>
        </w:rPr>
        <w:t>烟台大学成立于1984年，是由北京大学、清华大学共同援建的山东省属重点综合性大学，具有本硕博完整的人才培养体系，入列山东省高水平大学高水平学科建设高校。现有1个服务国家特殊需求博士人才培养项目、</w:t>
      </w:r>
      <w:r>
        <w:rPr>
          <w:rFonts w:hint="default" w:ascii="方正仿宋_gb2312" w:hAnsi="方正仿宋_gb2312" w:eastAsia="方正仿宋_gb2312" w:cs="方正仿宋_gb2312"/>
          <w:spacing w:val="30"/>
          <w:sz w:val="27"/>
          <w:szCs w:val="27"/>
          <w:shd w:val="clear" w:fill="FFFFFF"/>
        </w:rPr>
        <w:t>24个硕士学位授权一级学科，14个硕士专业学位授权类别，58个本科专业，涵盖文、理、工、法、农、医、经、管、教、艺10个学科门类，其中国家级一流专业建设点15个、特色专业4个，“卓越计划”专业6个、国家级课程建设项目4门、教学团队1个，省一流本科课程40门。有国家级实验教学示范中心、虚拟仿真实验教学中心各1个，省级实验教学示范中心4个。</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hint="default" w:ascii="方正仿宋_gb2312" w:hAnsi="方正仿宋_gb2312" w:eastAsia="方正仿宋_gb2312" w:cs="方正仿宋_gb2312"/>
          <w:spacing w:val="30"/>
          <w:sz w:val="27"/>
          <w:szCs w:val="27"/>
          <w:shd w:val="clear" w:fill="FFFFFF"/>
        </w:rPr>
        <w:t>德国特里尔应用技术大学为公立大学，坐落于文化名城莱法州特里尔市—卡尔·马克思的故乡，具有近200年的办学历史。学校现有三个校区近8000名学生和700名教师，其中教授172人。学校共有85个专业（54个本科专业和31个硕士专业）涵盖26个学科领域，其环境、机械、建筑、珠宝加工及设计类专业世界知名。该校是欧洲大学协会（EUA）成员，目前与全球140多个大学和机构保持着合作关系。该校拥有德国第一个二氧化碳零排放校园，在世界绿能网站关于绿色可持续校园的评比中连续六年（2017年-2022年）位居世界第六、德国第一，综合办学实力在德国200余所应用技术大学中名列前茅。</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jc w:val="both"/>
        <w:textAlignment w:val="auto"/>
      </w:pPr>
      <w:r>
        <w:rPr>
          <w:rStyle w:val="6"/>
          <w:rFonts w:hint="default" w:ascii="fangsong_gb2312" w:hAnsi="fangsong_gb2312" w:eastAsia="fangsong_gb2312" w:cs="fangsong_gb2312"/>
          <w:color w:val="0E0E0E"/>
          <w:spacing w:val="30"/>
          <w:sz w:val="31"/>
          <w:szCs w:val="31"/>
          <w:shd w:val="clear" w:fill="FFFFFF"/>
        </w:rPr>
        <w:t>二、专业介绍</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hint="default" w:ascii="方正仿宋_gb2312" w:hAnsi="方正仿宋_gb2312" w:eastAsia="方正仿宋_gb2312" w:cs="方正仿宋_gb2312"/>
          <w:spacing w:val="30"/>
          <w:sz w:val="27"/>
          <w:szCs w:val="27"/>
          <w:shd w:val="clear" w:fill="FFFFFF"/>
        </w:rPr>
        <w:t>国际物质流管理专业是环境科学与工程一级学科下的分支学科，分析和优化特定系统内的物质和能量的输入、转化和输出关系，围绕经济、生态和社会协调发展的目标，研究资源循环利用，是前沿科技、环保理念与循环经济深度融合的交叉学科。该专业引进德国特里尔应用技术大学在可持续发展技术、可再生能源、环境保护工程以及循环经济学等领域的优质教育教学资源，结合烟台大学在环境科学与工程、环保设备工程、工程管理等方面的独特优势，培养能够系统掌握物质流管理的前沿理论和发展动态、熟练运用科技手段促进低碳经济发展、具备生态保护风险防控能力的高水平专业人才。</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hint="default" w:ascii="方正仿宋_gb2312" w:hAnsi="方正仿宋_gb2312" w:eastAsia="方正仿宋_gb2312" w:cs="方正仿宋_gb2312"/>
          <w:spacing w:val="30"/>
          <w:sz w:val="27"/>
          <w:szCs w:val="27"/>
          <w:shd w:val="clear" w:fill="FFFFFF"/>
        </w:rPr>
        <w:t>专业核心课程包括全球环境挑战与绿色商机、水资源综合管理（经济方面）、物质流管理项目管理与金融、研究管理与应用物质流管理、工业物质流管理、环境经济学、环境可持续发展、工业可持续发展管理、循环经济和零排放体系及工业生态与工业4.0等模块。</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fangsong_gb2312" w:hAnsi="fangsong_gb2312" w:eastAsia="fangsong_gb2312" w:cs="fangsong_gb2312"/>
          <w:sz w:val="31"/>
          <w:szCs w:val="31"/>
        </w:rPr>
        <w:t>三</w:t>
      </w:r>
      <w:r>
        <w:rPr>
          <w:rStyle w:val="6"/>
          <w:rFonts w:hint="default" w:ascii="fangsong_gb2312" w:hAnsi="fangsong_gb2312" w:eastAsia="fangsong_gb2312" w:cs="fangsong_gb2312"/>
          <w:color w:val="0E0E0E"/>
          <w:spacing w:val="30"/>
          <w:sz w:val="31"/>
          <w:szCs w:val="31"/>
          <w:shd w:val="clear" w:fill="FFFFFF"/>
        </w:rPr>
        <w:t>、招生计划</w:t>
      </w:r>
    </w:p>
    <w:p>
      <w:pPr>
        <w:pStyle w:val="3"/>
        <w:keepNext w:val="0"/>
        <w:keepLines w:val="0"/>
        <w:pageBreakBefore w:val="0"/>
        <w:widowControl/>
        <w:suppressLineNumbers w:val="0"/>
        <w:shd w:val="clear" w:fill="FFFFFF"/>
        <w:kinsoku/>
        <w:overflowPunct/>
        <w:topLinePunct w:val="0"/>
        <w:autoSpaceDN/>
        <w:bidi w:val="0"/>
        <w:adjustRightInd/>
        <w:snapToGrid/>
        <w:spacing w:beforeAutospacing="0" w:afterAutospacing="0" w:line="400" w:lineRule="exact"/>
        <w:ind w:left="0" w:firstLine="735"/>
        <w:jc w:val="both"/>
        <w:textAlignment w:val="auto"/>
      </w:pPr>
      <w:r>
        <w:rPr>
          <w:rFonts w:hint="default" w:ascii="方正仿宋_gb2312" w:hAnsi="方正仿宋_gb2312" w:eastAsia="方正仿宋_gb2312" w:cs="方正仿宋_gb2312"/>
          <w:spacing w:val="30"/>
          <w:sz w:val="27"/>
          <w:szCs w:val="27"/>
          <w:shd w:val="clear" w:fill="FFFFFF"/>
        </w:rPr>
        <w:t>2023年自主招生30人，培养方式为全日制。</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fangsong_gb2312" w:hAnsi="fangsong_gb2312" w:eastAsia="fangsong_gb2312" w:cs="fangsong_gb2312"/>
          <w:color w:val="0E0E0E"/>
          <w:spacing w:val="30"/>
          <w:sz w:val="31"/>
          <w:szCs w:val="31"/>
          <w:shd w:val="clear" w:fill="FFFFFF"/>
        </w:rPr>
        <w:t>四、报考条件</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fangsong_gb2312" w:hAnsi="fangsong_gb2312" w:eastAsia="fangsong_gb2312" w:cs="fangsong_gb2312"/>
          <w:spacing w:val="30"/>
          <w:sz w:val="27"/>
          <w:szCs w:val="27"/>
        </w:rPr>
        <w:t>1.</w:t>
      </w:r>
      <w:r>
        <w:rPr>
          <w:rFonts w:hint="default" w:ascii="fangsong_gb2312" w:hAnsi="fangsong_gb2312" w:eastAsia="fangsong_gb2312" w:cs="fangsong_gb2312"/>
          <w:spacing w:val="30"/>
          <w:sz w:val="27"/>
          <w:szCs w:val="27"/>
          <w:shd w:val="clear" w:fill="FFFFFF"/>
        </w:rPr>
        <w:t>热爱祖国，拥护中国共产党的领导，遵纪守法，品德良好。</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ascii="仿宋_gb2312" w:hAnsi="仿宋_gb2312" w:eastAsia="仿宋_gb2312" w:cs="仿宋_gb2312"/>
          <w:spacing w:val="30"/>
          <w:sz w:val="27"/>
          <w:szCs w:val="27"/>
        </w:rPr>
        <w:t>2.</w:t>
      </w:r>
      <w:r>
        <w:rPr>
          <w:rFonts w:hint="default" w:ascii="方正仿宋_gb2312" w:hAnsi="方正仿宋_gb2312" w:eastAsia="方正仿宋_gb2312" w:cs="方正仿宋_gb2312"/>
          <w:spacing w:val="30"/>
          <w:sz w:val="27"/>
          <w:szCs w:val="27"/>
          <w:shd w:val="clear" w:fill="FFFFFF"/>
        </w:rPr>
        <w:t>身体健康状况符合国家和招生单位规定的体检要求。</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rPr>
        <w:t>3.</w:t>
      </w:r>
      <w:r>
        <w:rPr>
          <w:rFonts w:hint="default" w:ascii="仿宋_gb2312" w:hAnsi="仿宋_gb2312" w:eastAsia="仿宋_gb2312" w:cs="仿宋_gb2312"/>
          <w:spacing w:val="30"/>
          <w:sz w:val="27"/>
          <w:szCs w:val="27"/>
          <w:shd w:val="clear" w:fill="FFFFFF"/>
        </w:rPr>
        <w:t>2023年7月之前获得普通高等教育学士学位证书（环境类、理工类和管理类相关专业优先）。</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rPr>
        <w:t>4.</w:t>
      </w:r>
      <w:r>
        <w:rPr>
          <w:rFonts w:hint="default" w:ascii="方正仿宋_gb2312" w:hAnsi="方正仿宋_gb2312" w:eastAsia="方正仿宋_gb2312" w:cs="方正仿宋_gb2312"/>
          <w:spacing w:val="30"/>
          <w:sz w:val="27"/>
          <w:szCs w:val="27"/>
          <w:shd w:val="clear" w:fill="FFFFFF"/>
        </w:rPr>
        <w:t>至少6至12个月的全职实习实践或工作经验（时间可累积计算）。</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rPr>
        <w:t>5.</w:t>
      </w:r>
      <w:r>
        <w:rPr>
          <w:rFonts w:hint="default" w:ascii="方正仿宋_gb2312" w:hAnsi="方正仿宋_gb2312" w:eastAsia="方正仿宋_gb2312" w:cs="方正仿宋_gb2312"/>
          <w:spacing w:val="30"/>
          <w:sz w:val="27"/>
          <w:szCs w:val="27"/>
          <w:shd w:val="clear" w:fill="FFFFFF"/>
        </w:rPr>
        <w:t>英语须满足下列条件之一，并提供相关证书：</w:t>
      </w:r>
    </w:p>
    <w:tbl>
      <w:tblPr>
        <w:tblStyle w:val="4"/>
        <w:tblW w:w="-717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2974"/>
        <w:gridCol w:w="2885"/>
        <w:gridCol w:w="27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3405" w:type="dxa"/>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项目</w:t>
            </w:r>
          </w:p>
        </w:tc>
        <w:tc>
          <w:tcPr>
            <w:tcW w:w="3420" w:type="dxa"/>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成绩要求（分）</w:t>
            </w:r>
          </w:p>
        </w:tc>
        <w:tc>
          <w:tcPr>
            <w:tcW w:w="3420" w:type="dxa"/>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3405" w:type="dxa"/>
            <w:vMerge w:val="restart"/>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大学英语四级考试(CET-4)</w:t>
            </w: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500</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3405"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kinsoku/>
              <w:overflowPunct/>
              <w:topLinePunct w:val="0"/>
              <w:autoSpaceDN/>
              <w:bidi w:val="0"/>
              <w:adjustRightInd/>
              <w:snapToGrid/>
              <w:spacing w:beforeAutospacing="0" w:afterAutospacing="0" w:line="400" w:lineRule="exact"/>
              <w:jc w:val="center"/>
              <w:textAlignment w:val="auto"/>
              <w:rPr>
                <w:rFonts w:hint="eastAsia" w:ascii="宋体"/>
                <w:sz w:val="24"/>
                <w:szCs w:val="24"/>
              </w:rPr>
            </w:pP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425-500</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3405" w:type="dxa"/>
            <w:vMerge w:val="restart"/>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大学英语六级考试(CET-6)</w:t>
            </w: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480</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3405"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kinsoku/>
              <w:overflowPunct/>
              <w:topLinePunct w:val="0"/>
              <w:autoSpaceDN/>
              <w:bidi w:val="0"/>
              <w:adjustRightInd/>
              <w:snapToGrid/>
              <w:spacing w:beforeAutospacing="0" w:afterAutospacing="0" w:line="400" w:lineRule="exact"/>
              <w:jc w:val="center"/>
              <w:textAlignment w:val="auto"/>
              <w:rPr>
                <w:rFonts w:hint="eastAsia" w:ascii="宋体"/>
                <w:sz w:val="24"/>
                <w:szCs w:val="24"/>
              </w:rPr>
            </w:pP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425-480</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3405" w:type="dxa"/>
            <w:vMerge w:val="restart"/>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雅思(IELTS)</w:t>
            </w: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6</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3405"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kinsoku/>
              <w:overflowPunct/>
              <w:topLinePunct w:val="0"/>
              <w:autoSpaceDN/>
              <w:bidi w:val="0"/>
              <w:adjustRightInd/>
              <w:snapToGrid/>
              <w:spacing w:beforeAutospacing="0" w:afterAutospacing="0" w:line="400" w:lineRule="exact"/>
              <w:jc w:val="center"/>
              <w:textAlignment w:val="auto"/>
              <w:rPr>
                <w:rFonts w:hint="eastAsia" w:ascii="宋体"/>
                <w:sz w:val="24"/>
                <w:szCs w:val="24"/>
              </w:rPr>
            </w:pP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5</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3405" w:type="dxa"/>
            <w:vMerge w:val="restart"/>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kern w:val="0"/>
                <w:sz w:val="27"/>
                <w:szCs w:val="27"/>
                <w:lang w:val="en-US" w:eastAsia="zh-CN" w:bidi="ar"/>
              </w:rPr>
              <w:t>托福(TOEFL)</w:t>
            </w: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79</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3405" w:type="dxa"/>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kinsoku/>
              <w:overflowPunct/>
              <w:topLinePunct w:val="0"/>
              <w:autoSpaceDN/>
              <w:bidi w:val="0"/>
              <w:adjustRightInd/>
              <w:snapToGrid/>
              <w:spacing w:beforeAutospacing="0" w:afterAutospacing="0" w:line="400" w:lineRule="exact"/>
              <w:jc w:val="center"/>
              <w:textAlignment w:val="auto"/>
              <w:rPr>
                <w:rFonts w:hint="eastAsia" w:ascii="宋体"/>
                <w:sz w:val="24"/>
                <w:szCs w:val="24"/>
              </w:rPr>
            </w:pP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50</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jc w:val="center"/>
        </w:trPr>
        <w:tc>
          <w:tcPr>
            <w:tcW w:w="0" w:type="auto"/>
            <w:vMerge w:val="restart"/>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pStyle w:val="3"/>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多邻国</w:t>
            </w:r>
          </w:p>
          <w:p>
            <w:pPr>
              <w:pStyle w:val="3"/>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（Duolingo English Test）</w:t>
            </w: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wordWrap w:val="0"/>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105</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jc w:val="center"/>
        </w:trPr>
        <w:tc>
          <w:tcPr>
            <w:tcW w:w="0" w:type="auto"/>
            <w:vMerge w:val="continue"/>
            <w:tcBorders>
              <w:top w:val="single" w:color="333333" w:sz="6" w:space="0"/>
              <w:left w:val="single" w:color="333333" w:sz="6" w:space="0"/>
              <w:bottom w:val="single" w:color="333333" w:sz="6" w:space="0"/>
              <w:right w:val="single" w:color="333333" w:sz="6" w:space="0"/>
            </w:tcBorders>
            <w:shd w:val="clear" w:color="auto" w:fill="auto"/>
            <w:tcMar>
              <w:top w:w="75" w:type="dxa"/>
              <w:left w:w="150" w:type="dxa"/>
              <w:bottom w:w="75" w:type="dxa"/>
              <w:right w:w="150" w:type="dxa"/>
            </w:tcMar>
            <w:vAlign w:val="top"/>
          </w:tcPr>
          <w:p>
            <w:pPr>
              <w:keepNext w:val="0"/>
              <w:keepLines w:val="0"/>
              <w:pageBreakBefore w:val="0"/>
              <w:kinsoku/>
              <w:overflowPunct/>
              <w:topLinePunct w:val="0"/>
              <w:autoSpaceDN/>
              <w:bidi w:val="0"/>
              <w:adjustRightInd/>
              <w:snapToGrid/>
              <w:spacing w:beforeAutospacing="0" w:afterAutospacing="0" w:line="400" w:lineRule="exact"/>
              <w:jc w:val="center"/>
              <w:textAlignment w:val="auto"/>
              <w:rPr>
                <w:rFonts w:hint="eastAsia" w:ascii="宋体"/>
                <w:sz w:val="24"/>
                <w:szCs w:val="24"/>
              </w:rPr>
            </w:pPr>
          </w:p>
        </w:tc>
        <w:tc>
          <w:tcPr>
            <w:tcW w:w="2700"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80</w:t>
            </w:r>
          </w:p>
        </w:tc>
        <w:tc>
          <w:tcPr>
            <w:tcW w:w="1605" w:type="dxa"/>
            <w:tcBorders>
              <w:top w:val="single" w:color="333333" w:sz="6" w:space="0"/>
              <w:left w:val="single" w:color="333333" w:sz="6" w:space="0"/>
              <w:bottom w:val="single" w:color="333333" w:sz="6" w:space="0"/>
              <w:right w:val="single" w:color="333333" w:sz="6" w:space="0"/>
            </w:tcBorders>
            <w:shd w:val="clear" w:color="auto" w:fill="auto"/>
            <w:tcMar>
              <w:top w:w="0" w:type="dxa"/>
              <w:left w:w="105" w:type="dxa"/>
              <w:bottom w:w="0" w:type="dxa"/>
              <w:right w:w="105" w:type="dxa"/>
            </w:tcMar>
            <w:vAlign w:val="center"/>
          </w:tcPr>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jc w:val="center"/>
              <w:textAlignment w:val="auto"/>
            </w:pPr>
            <w:r>
              <w:rPr>
                <w:rFonts w:hint="default" w:ascii="仿宋_gb2312" w:hAnsi="仿宋_gb2312" w:eastAsia="仿宋_gb2312" w:cs="仿宋_gb2312"/>
                <w:sz w:val="27"/>
                <w:szCs w:val="27"/>
              </w:rPr>
              <w:t>★</w:t>
            </w:r>
          </w:p>
        </w:tc>
      </w:tr>
    </w:tbl>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仿宋_gb2312" w:hAnsi="仿宋_gb2312" w:eastAsia="仿宋_gb2312" w:cs="仿宋_gb2312"/>
          <w:color w:val="0E0E0E"/>
          <w:spacing w:val="30"/>
          <w:sz w:val="18"/>
          <w:szCs w:val="18"/>
        </w:rPr>
        <w:t>说明：</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ind w:left="0" w:firstLine="450"/>
        <w:textAlignment w:val="auto"/>
      </w:pPr>
      <w:r>
        <w:rPr>
          <w:rFonts w:ascii="Calibri" w:hAnsi="Calibri" w:eastAsia="仿宋_gb2312" w:cs="Calibri"/>
          <w:color w:val="0E0E0E"/>
          <w:spacing w:val="30"/>
          <w:sz w:val="18"/>
          <w:szCs w:val="18"/>
        </w:rPr>
        <w:t xml:space="preserve">① </w:t>
      </w:r>
      <w:r>
        <w:rPr>
          <w:rFonts w:ascii="仿宋_gb2312" w:hAnsi="仿宋_gb2312" w:eastAsia="仿宋_gb2312" w:cs="仿宋_gb2312"/>
          <w:color w:val="0E0E0E"/>
          <w:spacing w:val="30"/>
          <w:sz w:val="18"/>
          <w:szCs w:val="18"/>
        </w:rPr>
        <w:t>标注</w:t>
      </w:r>
      <w:r>
        <w:rPr>
          <w:rFonts w:hint="default" w:ascii="Calibri" w:hAnsi="Calibri" w:eastAsia="仿宋_gb2312" w:cs="Calibri"/>
          <w:color w:val="0E0E0E"/>
          <w:spacing w:val="30"/>
          <w:sz w:val="18"/>
          <w:szCs w:val="18"/>
        </w:rPr>
        <w:t>★</w:t>
      </w:r>
      <w:r>
        <w:rPr>
          <w:rFonts w:hint="default" w:ascii="仿宋_gb2312" w:hAnsi="仿宋_gb2312" w:eastAsia="仿宋_gb2312" w:cs="仿宋_gb2312"/>
          <w:color w:val="0E0E0E"/>
          <w:spacing w:val="30"/>
          <w:sz w:val="18"/>
          <w:szCs w:val="18"/>
        </w:rPr>
        <w:t>的情况，须</w:t>
      </w:r>
      <w:r>
        <w:rPr>
          <w:rFonts w:hint="default" w:ascii="仿宋_gb2312" w:hAnsi="仿宋_gb2312" w:eastAsia="仿宋_gb2312" w:cs="仿宋_gb2312"/>
          <w:spacing w:val="30"/>
          <w:sz w:val="18"/>
          <w:szCs w:val="18"/>
        </w:rPr>
        <w:t>按要求参加八周英语培训且考核合格。英语培训由烟台大学特里尔可持续发展技术学院组织开展，培训方案及费用另行通知。</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ind w:left="0" w:firstLine="450"/>
        <w:textAlignment w:val="auto"/>
      </w:pPr>
      <w:r>
        <w:rPr>
          <w:rFonts w:hint="default" w:ascii="Calibri" w:hAnsi="Calibri" w:eastAsia="仿宋_gb2312" w:cs="Calibri"/>
          <w:spacing w:val="30"/>
          <w:sz w:val="18"/>
          <w:szCs w:val="18"/>
        </w:rPr>
        <w:t xml:space="preserve">② </w:t>
      </w:r>
      <w:r>
        <w:rPr>
          <w:rFonts w:hint="default" w:ascii="仿宋_gb2312" w:hAnsi="仿宋_gb2312" w:eastAsia="仿宋_gb2312" w:cs="仿宋_gb2312"/>
          <w:spacing w:val="30"/>
          <w:sz w:val="18"/>
          <w:szCs w:val="18"/>
        </w:rPr>
        <w:t>学生在第二学期结束前（当年的6月30日前）须提供有效雅思成绩证书，不接受在线考试成绩。雅思成绩达到6.0分的学生（写作成绩不低于5.5分），升入第三学期继续学习。雅思成绩未能达到6.0分的学生须参加德方另外组织的英语水平考试，考试难度和费用等同于雅思考试，考试不合格者，不能进入第三学期的学习。</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仿宋_gb2312" w:hAnsi="仿宋_gb2312" w:eastAsia="仿宋_gb2312" w:cs="仿宋_gb2312"/>
          <w:color w:val="0E0E0E"/>
          <w:spacing w:val="30"/>
          <w:sz w:val="31"/>
          <w:szCs w:val="31"/>
          <w:shd w:val="clear" w:fill="FFFFFF"/>
        </w:rPr>
        <w:t>五、入学申请</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ind w:left="0" w:firstLine="450"/>
        <w:textAlignment w:val="auto"/>
      </w:pPr>
      <w:r>
        <w:rPr>
          <w:rFonts w:hint="default" w:ascii="仿宋_gb2312" w:hAnsi="仿宋_gb2312" w:eastAsia="仿宋_gb2312" w:cs="仿宋_gb2312"/>
          <w:color w:val="0E0E0E"/>
          <w:spacing w:val="30"/>
          <w:sz w:val="27"/>
          <w:szCs w:val="27"/>
        </w:rPr>
        <w:t>（一）</w:t>
      </w:r>
      <w:r>
        <w:rPr>
          <w:rFonts w:hint="default" w:ascii="仿宋_gb2312" w:hAnsi="仿宋_gb2312" w:eastAsia="仿宋_gb2312" w:cs="仿宋_gb2312"/>
          <w:spacing w:val="30"/>
          <w:sz w:val="27"/>
          <w:szCs w:val="27"/>
          <w:shd w:val="clear" w:fill="FFFFFF"/>
        </w:rPr>
        <w:t>申请方式</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电子邮件申请。</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ind w:left="0" w:firstLine="450"/>
        <w:textAlignment w:val="auto"/>
      </w:pPr>
      <w:r>
        <w:rPr>
          <w:rFonts w:hint="default" w:ascii="仿宋_gb2312" w:hAnsi="仿宋_gb2312" w:eastAsia="仿宋_gb2312" w:cs="仿宋_gb2312"/>
          <w:color w:val="0E0E0E"/>
          <w:spacing w:val="30"/>
          <w:sz w:val="27"/>
          <w:szCs w:val="27"/>
        </w:rPr>
        <w:t>（二）</w:t>
      </w:r>
      <w:r>
        <w:rPr>
          <w:rFonts w:hint="default" w:ascii="方正仿宋_gb2312" w:hAnsi="方正仿宋_gb2312" w:eastAsia="方正仿宋_gb2312" w:cs="方正仿宋_gb2312"/>
          <w:spacing w:val="30"/>
          <w:sz w:val="27"/>
          <w:szCs w:val="27"/>
          <w:shd w:val="clear" w:fill="FFFFFF"/>
        </w:rPr>
        <w:t>申请时间</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针对2023年秋季入学的考生，现已开放申请，本轮申请截止时间为2023年4月23日。</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ind w:left="0" w:firstLine="450"/>
        <w:textAlignment w:val="auto"/>
      </w:pPr>
      <w:r>
        <w:rPr>
          <w:rFonts w:hint="default" w:ascii="仿宋_gb2312" w:hAnsi="仿宋_gb2312" w:eastAsia="仿宋_gb2312" w:cs="仿宋_gb2312"/>
          <w:color w:val="0E0E0E"/>
          <w:spacing w:val="30"/>
          <w:sz w:val="27"/>
          <w:szCs w:val="27"/>
        </w:rPr>
        <w:t>（三）申请材料</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将以下材料合并于一个压缩文件，文件名为“姓名+IMAT MSc.+资格审查材料”</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color w:val="0E0E0E"/>
          <w:spacing w:val="30"/>
          <w:sz w:val="27"/>
          <w:szCs w:val="27"/>
        </w:rPr>
        <w:t>1.</w:t>
      </w:r>
      <w:r>
        <w:rPr>
          <w:rFonts w:hint="default" w:ascii="仿宋_gb2312" w:hAnsi="仿宋_gb2312" w:eastAsia="仿宋_gb2312" w:cs="仿宋_gb2312"/>
          <w:spacing w:val="30"/>
          <w:sz w:val="27"/>
          <w:szCs w:val="27"/>
          <w:shd w:val="clear" w:fill="FFFFFF"/>
        </w:rPr>
        <w:t>个人护照首页1:1高清彩色扫描件（或9月1日前提供）</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2.两寸白底护照照片</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3.入学申请表（在PDF文档中填写后打印，手写签字，再扫描）</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4.中英文简历PDF电子版</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5.本科毕业证书和学士学位证书（应届生可先提交就业推荐表）</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6.中英文本科完整成绩单（含毕业论文成绩）</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7.个人陈述英文版</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8.英语语言证书扫描件</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9.实习实践或工作证明中英文扫描版</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方正仿宋_gb2312" w:hAnsi="方正仿宋_gb2312" w:eastAsia="方正仿宋_gb2312" w:cs="方正仿宋_gb2312"/>
          <w:spacing w:val="30"/>
          <w:sz w:val="27"/>
          <w:szCs w:val="27"/>
          <w:shd w:val="clear" w:fill="FFFFFF"/>
        </w:rPr>
        <w:t>10.相关专业人士推荐信两封</w:t>
      </w:r>
      <w:r>
        <w:rPr>
          <w:rFonts w:hint="default" w:ascii="仿宋_gb2312" w:hAnsi="仿宋_gb2312" w:eastAsia="仿宋_gb2312" w:cs="仿宋_gb2312"/>
          <w:spacing w:val="30"/>
          <w:sz w:val="27"/>
          <w:szCs w:val="27"/>
          <w:shd w:val="clear" w:fill="FFFFFF"/>
        </w:rPr>
        <w:t>（在PDF文档填写后打印，手写签字，再扫描）</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仿宋_gb2312" w:hAnsi="仿宋_gb2312" w:eastAsia="仿宋_gb2312" w:cs="仿宋_gb2312"/>
          <w:color w:val="0E0E0E"/>
          <w:spacing w:val="30"/>
          <w:sz w:val="31"/>
          <w:szCs w:val="31"/>
          <w:shd w:val="clear" w:fill="FFFFFF"/>
        </w:rPr>
        <w:t>六、入学考试</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考试分为初试和面试两部分。</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Fonts w:hint="default" w:ascii="仿宋_gb2312" w:hAnsi="仿宋_gb2312" w:eastAsia="仿宋_gb2312" w:cs="仿宋_gb2312"/>
          <w:spacing w:val="30"/>
          <w:sz w:val="27"/>
          <w:szCs w:val="27"/>
          <w:shd w:val="clear" w:fill="FFFFFF"/>
        </w:rPr>
        <w:t>（一）初试为英语笔试（100分）</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color w:val="0E0E0E"/>
          <w:spacing w:val="30"/>
          <w:sz w:val="27"/>
          <w:szCs w:val="27"/>
        </w:rPr>
        <w:t>1.</w:t>
      </w:r>
      <w:r>
        <w:rPr>
          <w:rFonts w:hint="default" w:ascii="仿宋_gb2312" w:hAnsi="仿宋_gb2312" w:eastAsia="仿宋_gb2312" w:cs="仿宋_gb2312"/>
          <w:spacing w:val="30"/>
          <w:sz w:val="27"/>
          <w:szCs w:val="27"/>
          <w:shd w:val="clear" w:fill="FFFFFF"/>
        </w:rPr>
        <w:t>初试时</w:t>
      </w:r>
      <w:r>
        <w:rPr>
          <w:rFonts w:hint="default" w:ascii="方正仿宋_gb2312" w:hAnsi="方正仿宋_gb2312" w:eastAsia="方正仿宋_gb2312" w:cs="方正仿宋_gb2312"/>
          <w:spacing w:val="30"/>
          <w:sz w:val="27"/>
          <w:szCs w:val="27"/>
          <w:shd w:val="clear" w:fill="FFFFFF"/>
        </w:rPr>
        <w:t>间</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暂定于2023年5月8日-10日。具体时间和方式另行通知。</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2.初试内容</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重点围绕考生英语读写能力进行测试。若考生具有雅思6分或托福79分以上成绩，可免初试环节。</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Fonts w:hint="default" w:ascii="仿宋_gb2312" w:hAnsi="仿宋_gb2312" w:eastAsia="仿宋_gb2312" w:cs="仿宋_gb2312"/>
          <w:spacing w:val="30"/>
          <w:sz w:val="27"/>
          <w:szCs w:val="27"/>
          <w:shd w:val="clear" w:fill="FFFFFF"/>
        </w:rPr>
        <w:t>（二）面试（50分）</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面试采用英语对话考察，主要围绕考生个人的学历背景、专业基础、研究志趣、学业规划等进行考察，面试时长10-15分钟。面试地点和方式另行通知。</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Fonts w:hint="default" w:ascii="仿宋_gb2312" w:hAnsi="仿宋_gb2312" w:eastAsia="仿宋_gb2312" w:cs="仿宋_gb2312"/>
          <w:spacing w:val="30"/>
          <w:sz w:val="27"/>
          <w:szCs w:val="27"/>
          <w:shd w:val="clear" w:fill="FFFFFF"/>
        </w:rPr>
        <w:t>（三）总成绩为初试和面试的成绩总和，满分为150分。</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仿宋_gb2312" w:hAnsi="仿宋_gb2312" w:eastAsia="仿宋_gb2312" w:cs="仿宋_gb2312"/>
          <w:color w:val="0E0E0E"/>
          <w:spacing w:val="30"/>
          <w:sz w:val="31"/>
          <w:szCs w:val="31"/>
          <w:shd w:val="clear" w:fill="FFFFFF"/>
        </w:rPr>
        <w:t>七、录取与注册</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考生的总成绩将在特里尔学院官网公示。根据考生总成绩排名，择优录取，由烟台大学发放录取通知书。正式录取的考生，按照录取通知的时间到烟台大学特里尔学院报到。</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学生在中国教育部留学服务中心中外合作办学学生注册系统注册，在德国特里尔应用技术大学进行学籍注册。</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仿宋_gb2312" w:hAnsi="仿宋_gb2312" w:eastAsia="仿宋_gb2312" w:cs="仿宋_gb2312"/>
          <w:color w:val="0E0E0E"/>
          <w:spacing w:val="30"/>
          <w:sz w:val="31"/>
          <w:szCs w:val="31"/>
          <w:shd w:val="clear" w:fill="FFFFFF"/>
        </w:rPr>
        <w:t>八、培养模式与学位授予</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学制两年，全部在</w:t>
      </w:r>
      <w:bookmarkStart w:id="0" w:name="_GoBack"/>
      <w:r>
        <w:rPr>
          <w:rFonts w:hint="default" w:ascii="仿宋_gb2312" w:hAnsi="仿宋_gb2312" w:eastAsia="仿宋_gb2312" w:cs="仿宋_gb2312"/>
          <w:spacing w:val="30"/>
          <w:sz w:val="27"/>
          <w:szCs w:val="27"/>
          <w:shd w:val="clear" w:fill="FFFFFF"/>
        </w:rPr>
        <w:t>烟台大学</w:t>
      </w:r>
      <w:bookmarkEnd w:id="0"/>
      <w:r>
        <w:rPr>
          <w:rFonts w:hint="default" w:ascii="仿宋_gb2312" w:hAnsi="仿宋_gb2312" w:eastAsia="仿宋_gb2312" w:cs="仿宋_gb2312"/>
          <w:spacing w:val="30"/>
          <w:sz w:val="27"/>
          <w:szCs w:val="27"/>
          <w:shd w:val="clear" w:fill="FFFFFF"/>
        </w:rPr>
        <w:t>完成学业。</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该专业的课程由中德双方教师共同承担，中、英双语授课。按要求完成联合培养方案，课程考试成绩合格，通过学位论文答辩，符合德国特里尔应用技术大学硕士学位授予条件，可获得德国特里尔应用技术大学颁发的硕士学位证书，并可获得中国教育部留学服务中心认证。</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Fonts w:hint="default" w:ascii="仿宋_gb2312" w:hAnsi="仿宋_gb2312" w:eastAsia="仿宋_gb2312" w:cs="仿宋_gb2312"/>
          <w:b/>
          <w:bCs/>
          <w:color w:val="0E0E0E"/>
          <w:spacing w:val="30"/>
          <w:sz w:val="31"/>
          <w:szCs w:val="31"/>
          <w:shd w:val="clear" w:fill="FFFFFF"/>
        </w:rPr>
        <w:t>九、</w:t>
      </w:r>
      <w:r>
        <w:rPr>
          <w:rStyle w:val="6"/>
          <w:rFonts w:hint="default" w:ascii="仿宋_gb2312" w:hAnsi="仿宋_gb2312" w:eastAsia="仿宋_gb2312" w:cs="仿宋_gb2312"/>
          <w:color w:val="0E0E0E"/>
          <w:spacing w:val="30"/>
          <w:sz w:val="31"/>
          <w:szCs w:val="31"/>
          <w:shd w:val="clear" w:fill="FFFFFF"/>
        </w:rPr>
        <w:t>学费</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仿宋_gb2312" w:hAnsi="仿宋_gb2312" w:eastAsia="仿宋_gb2312" w:cs="仿宋_gb2312"/>
          <w:spacing w:val="30"/>
          <w:sz w:val="27"/>
          <w:szCs w:val="27"/>
          <w:shd w:val="clear" w:fill="FFFFFF"/>
        </w:rPr>
        <w:t>2023年自主招生研究生学费标准为人民币6.8万元/学年。</w:t>
      </w:r>
    </w:p>
    <w:p>
      <w:pPr>
        <w:pStyle w:val="3"/>
        <w:keepNext w:val="0"/>
        <w:keepLines w:val="0"/>
        <w:pageBreakBefore w:val="0"/>
        <w:widowControl/>
        <w:suppressLineNumbers w:val="0"/>
        <w:kinsoku/>
        <w:overflowPunct/>
        <w:topLinePunct w:val="0"/>
        <w:autoSpaceDN/>
        <w:bidi w:val="0"/>
        <w:adjustRightInd/>
        <w:snapToGrid/>
        <w:spacing w:beforeAutospacing="0" w:afterAutospacing="0" w:line="400" w:lineRule="exact"/>
        <w:textAlignment w:val="auto"/>
      </w:pPr>
      <w:r>
        <w:rPr>
          <w:rStyle w:val="6"/>
          <w:rFonts w:hint="default" w:ascii="仿宋_gb2312" w:hAnsi="仿宋_gb2312" w:eastAsia="仿宋_gb2312" w:cs="仿宋_gb2312"/>
          <w:color w:val="0E0E0E"/>
          <w:spacing w:val="30"/>
          <w:sz w:val="31"/>
          <w:szCs w:val="31"/>
          <w:shd w:val="clear" w:fill="FFFFFF"/>
        </w:rPr>
        <w:t>十、住宿</w:t>
      </w:r>
    </w:p>
    <w:p>
      <w:pPr>
        <w:pStyle w:val="3"/>
        <w:keepNext w:val="0"/>
        <w:keepLines w:val="0"/>
        <w:pageBreakBefore w:val="0"/>
        <w:widowControl/>
        <w:suppressLineNumbers w:val="0"/>
        <w:kinsoku/>
        <w:overflowPunct/>
        <w:topLinePunct w:val="0"/>
        <w:autoSpaceDE w:val="0"/>
        <w:autoSpaceDN/>
        <w:bidi w:val="0"/>
        <w:adjustRightInd/>
        <w:snapToGrid/>
        <w:spacing w:beforeAutospacing="0" w:afterAutospacing="0" w:line="400" w:lineRule="exact"/>
        <w:ind w:left="0" w:firstLine="735"/>
        <w:textAlignment w:val="auto"/>
      </w:pPr>
      <w:r>
        <w:rPr>
          <w:rFonts w:hint="default" w:ascii="方正仿宋_gb2312" w:hAnsi="方正仿宋_gb2312" w:eastAsia="方正仿宋_gb2312" w:cs="方正仿宋_gb2312"/>
          <w:spacing w:val="30"/>
          <w:sz w:val="27"/>
          <w:szCs w:val="27"/>
          <w:shd w:val="clear" w:fill="FFFFFF"/>
        </w:rPr>
        <w:t>在烟台大学主校区就读、住宿。住宿费每学年1200元（四人间）。</w:t>
      </w:r>
    </w:p>
    <w:p>
      <w:pPr>
        <w:keepNext w:val="0"/>
        <w:keepLines w:val="0"/>
        <w:pageBreakBefore w:val="0"/>
        <w:kinsoku/>
        <w:overflowPunct/>
        <w:topLinePunct w:val="0"/>
        <w:autoSpaceDN/>
        <w:bidi w:val="0"/>
        <w:adjustRightInd/>
        <w:snapToGrid/>
        <w:spacing w:beforeAutospacing="0" w:afterAutospacing="0" w:line="400" w:lineRule="exact"/>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2312">
    <w:altName w:val="仿宋"/>
    <w:panose1 w:val="00000000000000000000"/>
    <w:charset w:val="00"/>
    <w:family w:val="auto"/>
    <w:pitch w:val="default"/>
    <w:sig w:usb0="00000000" w:usb1="00000000" w:usb2="00000000" w:usb3="00000000" w:csb0="00000000" w:csb1="00000000"/>
  </w:font>
  <w:font w:name="fangsong_gb2312">
    <w:altName w:val="Segoe Print"/>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0000000"/>
    <w:rsid w:val="17232160"/>
    <w:rsid w:val="1A0E6BA4"/>
    <w:rsid w:val="59B061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2527</Words>
  <Characters>2779</Characters>
  <Lines>0</Lines>
  <Paragraphs>0</Paragraphs>
  <TotalTime>7</TotalTime>
  <ScaleCrop>false</ScaleCrop>
  <LinksUpToDate>false</LinksUpToDate>
  <CharactersWithSpaces>2791</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2023-04-06T00:30:00Z</dcterms:created>
  <dc:creator>Administrator</dc:creator>
  <cp:lastModifiedBy>冰冰⊙▽⊙＊</cp:lastModifiedBy>
  <dcterms:modified xsi:type="dcterms:W3CDTF">2023-04-12T00:08:58Z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3DB2F555C3994628AA8F350B1691CD0C_13</vt:lpwstr>
  </property>
</Properties>
</file>