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7" w:rsidRDefault="00552D17" w:rsidP="00552D17">
      <w:pPr>
        <w:pStyle w:val="Bodytext20"/>
        <w:keepNext/>
        <w:spacing w:after="300" w:line="360" w:lineRule="auto"/>
        <w:jc w:val="center"/>
        <w:rPr>
          <w:rFonts w:ascii="宋体" w:eastAsia="宋体" w:hAnsi="宋体" w:cs="宋体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国际青年领导力项目</w:t>
      </w:r>
    </w:p>
    <w:p w:rsidR="0004675E" w:rsidRPr="00AA304C" w:rsidRDefault="00CD5B86" w:rsidP="00552D17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795513">
        <w:rPr>
          <w:rFonts w:eastAsiaTheme="minorEastAsia" w:hint="eastAsia"/>
          <w:b/>
          <w:sz w:val="32"/>
          <w:szCs w:val="32"/>
          <w:lang w:eastAsia="zh-CN"/>
        </w:rPr>
        <w:t>心理商谈专业</w:t>
      </w:r>
      <w:r w:rsidR="00C73FE7" w:rsidRPr="00C73FE7">
        <w:rPr>
          <w:rFonts w:eastAsiaTheme="minorEastAsia" w:hint="eastAsia"/>
          <w:b/>
          <w:sz w:val="32"/>
          <w:szCs w:val="32"/>
          <w:lang w:eastAsia="zh-CN"/>
        </w:rPr>
        <w:t>硕士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015ED8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015ED8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D7A" w:rsidRDefault="00212D7A" w:rsidP="00F619F8">
      <w:r>
        <w:separator/>
      </w:r>
    </w:p>
  </w:endnote>
  <w:endnote w:type="continuationSeparator" w:id="0">
    <w:p w:rsidR="00212D7A" w:rsidRDefault="00212D7A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D7A" w:rsidRDefault="00212D7A" w:rsidP="00F619F8">
      <w:r>
        <w:separator/>
      </w:r>
    </w:p>
  </w:footnote>
  <w:footnote w:type="continuationSeparator" w:id="0">
    <w:p w:rsidR="00212D7A" w:rsidRDefault="00212D7A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15ED8"/>
    <w:rsid w:val="0004675E"/>
    <w:rsid w:val="000E31A8"/>
    <w:rsid w:val="00134018"/>
    <w:rsid w:val="00212D7A"/>
    <w:rsid w:val="002733B4"/>
    <w:rsid w:val="002B1311"/>
    <w:rsid w:val="002E0578"/>
    <w:rsid w:val="005220EB"/>
    <w:rsid w:val="00552D17"/>
    <w:rsid w:val="0058341E"/>
    <w:rsid w:val="00795513"/>
    <w:rsid w:val="007D5516"/>
    <w:rsid w:val="008066FF"/>
    <w:rsid w:val="00977DFD"/>
    <w:rsid w:val="00AA253E"/>
    <w:rsid w:val="00AA304C"/>
    <w:rsid w:val="00C73FE7"/>
    <w:rsid w:val="00CA3660"/>
    <w:rsid w:val="00CD5B86"/>
    <w:rsid w:val="00E411F6"/>
    <w:rsid w:val="00ED0F6E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2020-05-11T09:23:00Z</dcterms:created>
  <dcterms:modified xsi:type="dcterms:W3CDTF">2020-05-11T09:23:00Z</dcterms:modified>
</cp:coreProperties>
</file>