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b/>
          <w:bCs/>
          <w:sz w:val="30"/>
          <w:szCs w:val="30"/>
        </w:rPr>
      </w:pPr>
      <w:bookmarkStart w:id="0" w:name="_Hlk13166142"/>
      <w:r>
        <w:rPr>
          <w:b/>
          <w:bCs/>
          <w:sz w:val="30"/>
          <w:szCs w:val="30"/>
        </w:rPr>
        <w:t>香港理工大学</w:t>
      </w:r>
      <w:r>
        <w:rPr>
          <w:rFonts w:hint="eastAsia"/>
          <w:b/>
          <w:bCs/>
          <w:sz w:val="30"/>
          <w:szCs w:val="30"/>
        </w:rPr>
        <w:t>与</w:t>
      </w:r>
      <w:r>
        <w:rPr>
          <w:b/>
          <w:bCs/>
          <w:sz w:val="30"/>
          <w:szCs w:val="30"/>
        </w:rPr>
        <w:t>西安交通大学</w:t>
      </w:r>
    </w:p>
    <w:p>
      <w:pPr>
        <w:spacing w:line="360" w:lineRule="auto"/>
        <w:jc w:val="center"/>
        <w:rPr>
          <w:b/>
          <w:bCs/>
          <w:sz w:val="30"/>
          <w:szCs w:val="30"/>
        </w:rPr>
      </w:pPr>
      <w:r>
        <w:rPr>
          <w:b/>
          <w:bCs/>
          <w:sz w:val="30"/>
          <w:szCs w:val="30"/>
        </w:rPr>
        <w:t>工商管理硕士学位MBA</w:t>
      </w:r>
      <w:bookmarkEnd w:id="0"/>
      <w:r>
        <w:rPr>
          <w:b/>
          <w:bCs/>
          <w:sz w:val="30"/>
          <w:szCs w:val="30"/>
        </w:rPr>
        <w:t>招生简章</w:t>
      </w:r>
    </w:p>
    <w:p>
      <w:pPr>
        <w:spacing w:line="360" w:lineRule="auto"/>
        <w:rPr>
          <w:color w:val="FF0000"/>
          <w:sz w:val="24"/>
          <w:szCs w:val="24"/>
        </w:rPr>
      </w:pPr>
      <w:r>
        <w:rPr>
          <w:rFonts w:hint="eastAsia"/>
          <w:color w:val="FF0000"/>
          <w:sz w:val="24"/>
          <w:szCs w:val="24"/>
        </w:rPr>
        <w:t>中国教育部中外合作办学项目批准证书编号：</w:t>
      </w:r>
    </w:p>
    <w:p>
      <w:pPr>
        <w:spacing w:line="360" w:lineRule="auto"/>
        <w:rPr>
          <w:color w:val="FF0000"/>
          <w:sz w:val="24"/>
          <w:szCs w:val="24"/>
        </w:rPr>
      </w:pPr>
      <w:r>
        <w:rPr>
          <w:color w:val="FF0000"/>
          <w:sz w:val="24"/>
          <w:szCs w:val="24"/>
        </w:rPr>
        <w:t>MOE61HK1A20020394O</w:t>
      </w:r>
    </w:p>
    <w:p>
      <w:pPr>
        <w:spacing w:line="360" w:lineRule="auto"/>
        <w:rPr>
          <w:color w:val="FF0000"/>
          <w:sz w:val="24"/>
          <w:szCs w:val="24"/>
        </w:rPr>
      </w:pPr>
      <w:r>
        <w:rPr>
          <w:rFonts w:hint="eastAsia"/>
          <w:color w:val="FF0000"/>
          <w:sz w:val="24"/>
          <w:szCs w:val="24"/>
        </w:rPr>
        <w:t>中国教育部网站链接</w:t>
      </w:r>
    </w:p>
    <w:p>
      <w:pPr>
        <w:spacing w:line="360" w:lineRule="auto"/>
        <w:rPr>
          <w:color w:val="FF0000"/>
          <w:sz w:val="24"/>
          <w:szCs w:val="24"/>
        </w:rPr>
      </w:pPr>
      <w:r>
        <w:rPr>
          <w:color w:val="FF0000"/>
          <w:sz w:val="24"/>
          <w:szCs w:val="24"/>
        </w:rPr>
        <w:t>http://www.crs.jsj.edu.cn/aproval/detail/149</w:t>
      </w:r>
    </w:p>
    <w:p>
      <w:pPr>
        <w:spacing w:line="360" w:lineRule="auto"/>
        <w:rPr>
          <w:b/>
          <w:bCs/>
          <w:color w:val="7030A0"/>
          <w:sz w:val="24"/>
          <w:szCs w:val="24"/>
        </w:rPr>
      </w:pPr>
      <w:r>
        <w:rPr>
          <w:rFonts w:hint="eastAsia"/>
          <w:b/>
          <w:bCs/>
          <w:color w:val="7030A0"/>
          <w:sz w:val="24"/>
          <w:szCs w:val="24"/>
        </w:rPr>
        <w:t>一、项目简介</w:t>
      </w:r>
      <w:r>
        <w:rPr>
          <w:b/>
          <w:bCs/>
          <w:color w:val="7030A0"/>
          <w:sz w:val="24"/>
          <w:szCs w:val="24"/>
        </w:rPr>
        <w:t xml:space="preserve"> </w:t>
      </w:r>
    </w:p>
    <w:p>
      <w:pPr>
        <w:spacing w:line="360" w:lineRule="auto"/>
        <w:rPr>
          <w:sz w:val="24"/>
          <w:szCs w:val="24"/>
        </w:rPr>
      </w:pPr>
      <w:r>
        <w:rPr>
          <w:rFonts w:hint="eastAsia"/>
          <w:sz w:val="24"/>
          <w:szCs w:val="24"/>
        </w:rPr>
        <w:t>西安交通大学与香港理工大学工商管理硕士学位（</w:t>
      </w:r>
      <w:r>
        <w:rPr>
          <w:sz w:val="24"/>
          <w:szCs w:val="24"/>
        </w:rPr>
        <w:t>MBA）</w:t>
      </w:r>
      <w:r>
        <w:rPr>
          <w:rFonts w:hint="eastAsia"/>
          <w:sz w:val="24"/>
          <w:szCs w:val="24"/>
        </w:rPr>
        <w:t>项目</w:t>
      </w:r>
      <w:r>
        <w:rPr>
          <w:sz w:val="24"/>
          <w:szCs w:val="24"/>
        </w:rPr>
        <w:t>首期于2002年8月16日获教育部港澳台事务办公室（教外港办[2002]471号）和国务院学位委员会办公室（学位办[2002]69号）批准，</w:t>
      </w:r>
      <w:r>
        <w:rPr>
          <w:rFonts w:hint="eastAsia"/>
          <w:sz w:val="24"/>
          <w:szCs w:val="24"/>
        </w:rPr>
        <w:t>并于2</w:t>
      </w:r>
      <w:r>
        <w:rPr>
          <w:sz w:val="24"/>
          <w:szCs w:val="24"/>
        </w:rPr>
        <w:t>015</w:t>
      </w:r>
      <w:r>
        <w:rPr>
          <w:rFonts w:hint="eastAsia"/>
          <w:sz w:val="24"/>
          <w:szCs w:val="24"/>
        </w:rPr>
        <w:t>、2</w:t>
      </w:r>
      <w:r>
        <w:rPr>
          <w:sz w:val="24"/>
          <w:szCs w:val="24"/>
        </w:rPr>
        <w:t>019</w:t>
      </w:r>
      <w:r>
        <w:rPr>
          <w:rFonts w:hint="eastAsia"/>
          <w:sz w:val="24"/>
          <w:szCs w:val="24"/>
        </w:rPr>
        <w:t>年续期，教育部</w:t>
      </w:r>
      <w:r>
        <w:rPr>
          <w:sz w:val="24"/>
          <w:szCs w:val="24"/>
        </w:rPr>
        <w:t>批准书编号：MOE61HK1A20020394O</w:t>
      </w:r>
    </w:p>
    <w:p>
      <w:pPr>
        <w:spacing w:line="360" w:lineRule="auto"/>
        <w:rPr>
          <w:sz w:val="24"/>
          <w:szCs w:val="24"/>
        </w:rPr>
      </w:pPr>
      <w:r>
        <w:rPr>
          <w:rFonts w:hint="eastAsia"/>
          <w:sz w:val="24"/>
          <w:szCs w:val="24"/>
        </w:rPr>
        <w:t>自</w:t>
      </w:r>
      <w:r>
        <w:rPr>
          <w:sz w:val="24"/>
          <w:szCs w:val="24"/>
        </w:rPr>
        <w:t>2011年12月起，该项目的毕业生和在读生可凭姓名及身份证号在教育部网站查询注册及认证信息。</w:t>
      </w:r>
      <w:r>
        <w:rPr>
          <w:rFonts w:hint="eastAsia"/>
          <w:sz w:val="24"/>
          <w:szCs w:val="24"/>
        </w:rPr>
        <w:t>同源中国E</w:t>
      </w:r>
      <w:r>
        <w:rPr>
          <w:sz w:val="24"/>
          <w:szCs w:val="24"/>
        </w:rPr>
        <w:t>MBA</w:t>
      </w:r>
      <w:r>
        <w:rPr>
          <w:rFonts w:hint="eastAsia"/>
          <w:sz w:val="24"/>
          <w:szCs w:val="24"/>
        </w:rPr>
        <w:t>成长，把握中国企业管理脉搏，历经数载，</w:t>
      </w:r>
      <w:r>
        <w:rPr>
          <w:sz w:val="24"/>
          <w:szCs w:val="24"/>
        </w:rPr>
        <w:t>现已经毕业学员皆是行业翘楚，在社会经济发展中发挥关键的作用。</w:t>
      </w:r>
      <w:r>
        <w:rPr>
          <w:rFonts w:hint="eastAsia"/>
          <w:sz w:val="24"/>
          <w:szCs w:val="24"/>
        </w:rPr>
        <w:t>全新改革的课程加入新的学科、着重授予最前沿的金融知识，并设有不同的专业选修范畴，以配合国家大湾区发展下，企业管理阶层所需的管理知识和技能，特别切合金融企业人才的需要。</w:t>
      </w:r>
      <w:r>
        <w:rPr>
          <w:sz w:val="24"/>
          <w:szCs w:val="24"/>
        </w:rPr>
        <w:t>毕业生除获得香港理工大学学位证书外，西安交通大学也将颁发研究生课程学习证书。</w:t>
      </w:r>
    </w:p>
    <w:p>
      <w:pPr>
        <w:spacing w:line="360" w:lineRule="auto"/>
        <w:rPr>
          <w:sz w:val="24"/>
          <w:szCs w:val="24"/>
        </w:rPr>
      </w:pPr>
    </w:p>
    <w:p>
      <w:pPr>
        <w:spacing w:line="360" w:lineRule="auto"/>
        <w:rPr>
          <w:b/>
          <w:bCs/>
          <w:color w:val="7030A0"/>
          <w:sz w:val="24"/>
          <w:szCs w:val="24"/>
        </w:rPr>
      </w:pPr>
      <w:r>
        <w:rPr>
          <w:rFonts w:hint="eastAsia"/>
          <w:b/>
          <w:bCs/>
          <w:color w:val="7030A0"/>
          <w:sz w:val="24"/>
          <w:szCs w:val="24"/>
        </w:rPr>
        <w:t>二、课程特点</w:t>
      </w:r>
      <w:r>
        <w:rPr>
          <w:b/>
          <w:bCs/>
          <w:color w:val="7030A0"/>
          <w:sz w:val="24"/>
          <w:szCs w:val="24"/>
        </w:rPr>
        <w:t xml:space="preserve"> </w:t>
      </w:r>
    </w:p>
    <w:p>
      <w:pPr>
        <w:spacing w:line="360" w:lineRule="auto"/>
        <w:rPr>
          <w:sz w:val="24"/>
          <w:szCs w:val="24"/>
        </w:rPr>
      </w:pPr>
      <w:r>
        <w:rPr>
          <w:sz w:val="24"/>
          <w:szCs w:val="24"/>
        </w:rPr>
        <w:t>1.师资国际化，课程国际化，课程设置和教学与国际接轨。</w:t>
      </w:r>
    </w:p>
    <w:p>
      <w:pPr>
        <w:spacing w:line="360" w:lineRule="auto"/>
        <w:rPr>
          <w:sz w:val="24"/>
          <w:szCs w:val="24"/>
        </w:rPr>
      </w:pPr>
      <w:r>
        <w:rPr>
          <w:sz w:val="24"/>
          <w:szCs w:val="24"/>
        </w:rPr>
        <w:t>2.共享西安交大和香港理大的丰富资源。</w:t>
      </w:r>
    </w:p>
    <w:p>
      <w:pPr>
        <w:spacing w:line="360" w:lineRule="auto"/>
        <w:rPr>
          <w:sz w:val="24"/>
          <w:szCs w:val="24"/>
        </w:rPr>
      </w:pPr>
      <w:r>
        <w:rPr>
          <w:sz w:val="24"/>
          <w:szCs w:val="24"/>
        </w:rPr>
        <w:t>3.教学方式灵活多样，强调老师和学生以及学生之间的互动和交流。</w:t>
      </w:r>
    </w:p>
    <w:p>
      <w:pPr>
        <w:spacing w:line="360" w:lineRule="auto"/>
        <w:rPr>
          <w:sz w:val="24"/>
          <w:szCs w:val="24"/>
        </w:rPr>
      </w:pPr>
      <w:r>
        <w:rPr>
          <w:sz w:val="24"/>
          <w:szCs w:val="24"/>
        </w:rPr>
        <w:t>4.强调培养学员的分析能力，以及学员的批判与创意思维。</w:t>
      </w:r>
    </w:p>
    <w:p>
      <w:pPr>
        <w:spacing w:line="360" w:lineRule="auto"/>
        <w:rPr>
          <w:sz w:val="24"/>
          <w:szCs w:val="24"/>
        </w:rPr>
      </w:pPr>
      <w:r>
        <w:rPr>
          <w:sz w:val="24"/>
          <w:szCs w:val="24"/>
        </w:rPr>
        <w:t>5.着重培养学生的管理实践能力，通过对国内外企业的案例进行咨询诊断、调查研究，深化学员对企业管理的理解和提升管理水平。</w:t>
      </w:r>
    </w:p>
    <w:p>
      <w:pPr>
        <w:spacing w:line="360" w:lineRule="auto"/>
        <w:rPr>
          <w:sz w:val="24"/>
          <w:szCs w:val="24"/>
        </w:rPr>
      </w:pPr>
    </w:p>
    <w:p>
      <w:pPr>
        <w:spacing w:line="360" w:lineRule="auto"/>
        <w:rPr>
          <w:b/>
          <w:bCs/>
          <w:color w:val="7030A0"/>
          <w:sz w:val="24"/>
          <w:szCs w:val="24"/>
        </w:rPr>
      </w:pPr>
      <w:r>
        <w:rPr>
          <w:rFonts w:hint="eastAsia"/>
          <w:b/>
          <w:bCs/>
          <w:color w:val="7030A0"/>
          <w:sz w:val="24"/>
          <w:szCs w:val="24"/>
        </w:rPr>
        <w:t>三、课程目标</w:t>
      </w:r>
    </w:p>
    <w:p>
      <w:pPr>
        <w:spacing w:line="360" w:lineRule="auto"/>
        <w:rPr>
          <w:sz w:val="24"/>
          <w:szCs w:val="24"/>
        </w:rPr>
      </w:pPr>
      <w:r>
        <w:rPr>
          <w:rFonts w:hint="eastAsia"/>
          <w:sz w:val="24"/>
          <w:szCs w:val="24"/>
        </w:rPr>
        <w:t>本课程的目标是使学员掌握现代管理必备的知识、才干和技能，提高学员的管理和分析能力。</w:t>
      </w:r>
    </w:p>
    <w:p>
      <w:pPr>
        <w:spacing w:line="360" w:lineRule="auto"/>
        <w:rPr>
          <w:sz w:val="24"/>
          <w:szCs w:val="24"/>
        </w:rPr>
      </w:pPr>
      <w:r>
        <w:rPr>
          <w:rFonts w:hint="eastAsia"/>
          <w:sz w:val="24"/>
          <w:szCs w:val="24"/>
        </w:rPr>
        <w:t>课程预期学习成果如下︰</w:t>
      </w:r>
    </w:p>
    <w:p>
      <w:pPr>
        <w:spacing w:line="360" w:lineRule="auto"/>
        <w:rPr>
          <w:sz w:val="24"/>
          <w:szCs w:val="24"/>
        </w:rPr>
      </w:pPr>
    </w:p>
    <w:p>
      <w:pPr>
        <w:spacing w:line="360" w:lineRule="auto"/>
        <w:rPr>
          <w:sz w:val="24"/>
          <w:szCs w:val="24"/>
        </w:rPr>
      </w:pPr>
      <w:r>
        <w:rPr>
          <w:sz w:val="24"/>
          <w:szCs w:val="24"/>
        </w:rPr>
        <w:t>1.概念的应用</w:t>
      </w:r>
    </w:p>
    <w:p>
      <w:pPr>
        <w:spacing w:line="360" w:lineRule="auto"/>
        <w:rPr>
          <w:sz w:val="24"/>
          <w:szCs w:val="24"/>
        </w:rPr>
      </w:pPr>
      <w:r>
        <w:rPr>
          <w:rFonts w:hint="eastAsia"/>
          <w:sz w:val="24"/>
          <w:szCs w:val="24"/>
        </w:rPr>
        <w:t>学员应具备分析能力，懂得选择及运用适切的概念框架来解决管理上面对的问题，包括为企业订立发展方向与目标。</w:t>
      </w:r>
    </w:p>
    <w:p>
      <w:pPr>
        <w:spacing w:line="360" w:lineRule="auto"/>
        <w:rPr>
          <w:sz w:val="24"/>
          <w:szCs w:val="24"/>
        </w:rPr>
      </w:pPr>
    </w:p>
    <w:p>
      <w:pPr>
        <w:spacing w:line="360" w:lineRule="auto"/>
        <w:rPr>
          <w:sz w:val="24"/>
          <w:szCs w:val="24"/>
        </w:rPr>
      </w:pPr>
      <w:r>
        <w:rPr>
          <w:sz w:val="24"/>
          <w:szCs w:val="24"/>
        </w:rPr>
        <w:t>2.批判与创意思维</w:t>
      </w:r>
    </w:p>
    <w:p>
      <w:pPr>
        <w:spacing w:line="360" w:lineRule="auto"/>
        <w:rPr>
          <w:sz w:val="24"/>
          <w:szCs w:val="24"/>
        </w:rPr>
      </w:pPr>
      <w:r>
        <w:rPr>
          <w:rFonts w:hint="eastAsia"/>
          <w:sz w:val="24"/>
          <w:szCs w:val="24"/>
        </w:rPr>
        <w:t>学员应在管理问题上具备批判与创意思维。</w:t>
      </w:r>
    </w:p>
    <w:p>
      <w:pPr>
        <w:spacing w:line="360" w:lineRule="auto"/>
        <w:rPr>
          <w:sz w:val="24"/>
          <w:szCs w:val="24"/>
        </w:rPr>
      </w:pPr>
    </w:p>
    <w:p>
      <w:pPr>
        <w:spacing w:line="360" w:lineRule="auto"/>
        <w:rPr>
          <w:sz w:val="24"/>
          <w:szCs w:val="24"/>
        </w:rPr>
      </w:pPr>
      <w:r>
        <w:rPr>
          <w:sz w:val="24"/>
          <w:szCs w:val="24"/>
        </w:rPr>
        <w:t>3.高效沟通能力</w:t>
      </w:r>
    </w:p>
    <w:p>
      <w:pPr>
        <w:spacing w:line="360" w:lineRule="auto"/>
        <w:rPr>
          <w:sz w:val="24"/>
          <w:szCs w:val="24"/>
        </w:rPr>
      </w:pPr>
      <w:r>
        <w:rPr>
          <w:rFonts w:hint="eastAsia"/>
          <w:sz w:val="24"/>
          <w:szCs w:val="24"/>
        </w:rPr>
        <w:t>学员能有效地以口头和文字表达深思熟虑的论据。</w:t>
      </w:r>
    </w:p>
    <w:p>
      <w:pPr>
        <w:spacing w:line="360" w:lineRule="auto"/>
        <w:rPr>
          <w:sz w:val="24"/>
          <w:szCs w:val="24"/>
        </w:rPr>
      </w:pPr>
    </w:p>
    <w:p>
      <w:pPr>
        <w:spacing w:line="360" w:lineRule="auto"/>
        <w:rPr>
          <w:sz w:val="24"/>
          <w:szCs w:val="24"/>
        </w:rPr>
      </w:pPr>
      <w:r>
        <w:rPr>
          <w:sz w:val="24"/>
          <w:szCs w:val="24"/>
        </w:rPr>
        <w:t>4.人际交往能力</w:t>
      </w:r>
    </w:p>
    <w:p>
      <w:pPr>
        <w:spacing w:line="360" w:lineRule="auto"/>
        <w:rPr>
          <w:sz w:val="24"/>
          <w:szCs w:val="24"/>
        </w:rPr>
      </w:pPr>
      <w:r>
        <w:rPr>
          <w:rFonts w:hint="eastAsia"/>
          <w:sz w:val="24"/>
          <w:szCs w:val="24"/>
        </w:rPr>
        <w:t>学员应具备人际交往技巧及知识，有效地与不同范畴的人士合作。</w:t>
      </w:r>
    </w:p>
    <w:p>
      <w:pPr>
        <w:spacing w:line="360" w:lineRule="auto"/>
        <w:rPr>
          <w:sz w:val="24"/>
          <w:szCs w:val="24"/>
        </w:rPr>
      </w:pPr>
    </w:p>
    <w:p>
      <w:pPr>
        <w:spacing w:line="360" w:lineRule="auto"/>
        <w:rPr>
          <w:sz w:val="24"/>
          <w:szCs w:val="24"/>
        </w:rPr>
      </w:pPr>
      <w:r>
        <w:rPr>
          <w:sz w:val="24"/>
          <w:szCs w:val="24"/>
        </w:rPr>
        <w:t>5. 亚洲营商环境下的领导和管理变革才能</w:t>
      </w:r>
    </w:p>
    <w:p>
      <w:pPr>
        <w:spacing w:line="360" w:lineRule="auto"/>
        <w:rPr>
          <w:sz w:val="24"/>
          <w:szCs w:val="24"/>
        </w:rPr>
      </w:pPr>
      <w:r>
        <w:rPr>
          <w:rFonts w:hint="eastAsia"/>
          <w:sz w:val="24"/>
          <w:szCs w:val="24"/>
        </w:rPr>
        <w:t>学员应具备在亚洲营商环境下识别及应对变革之能力，以及提出和有效管理企业的变革。</w:t>
      </w:r>
    </w:p>
    <w:p>
      <w:pPr>
        <w:spacing w:line="360" w:lineRule="auto"/>
        <w:rPr>
          <w:sz w:val="24"/>
          <w:szCs w:val="24"/>
        </w:rPr>
      </w:pPr>
    </w:p>
    <w:p>
      <w:pPr>
        <w:spacing w:line="360" w:lineRule="auto"/>
        <w:rPr>
          <w:sz w:val="24"/>
          <w:szCs w:val="24"/>
        </w:rPr>
      </w:pPr>
      <w:r>
        <w:rPr>
          <w:sz w:val="24"/>
          <w:szCs w:val="24"/>
        </w:rPr>
        <w:t>6.国际视野</w:t>
      </w:r>
    </w:p>
    <w:p>
      <w:pPr>
        <w:spacing w:line="360" w:lineRule="auto"/>
        <w:rPr>
          <w:sz w:val="24"/>
          <w:szCs w:val="24"/>
        </w:rPr>
      </w:pPr>
      <w:r>
        <w:rPr>
          <w:rFonts w:hint="eastAsia"/>
          <w:sz w:val="24"/>
          <w:szCs w:val="24"/>
        </w:rPr>
        <w:t>学员应具备国际视野，了解文化的多元性，认识全球化发展之下不同文化的差异，以及对管理所带来的影响。</w:t>
      </w:r>
    </w:p>
    <w:p>
      <w:pPr>
        <w:spacing w:line="360" w:lineRule="auto"/>
        <w:rPr>
          <w:sz w:val="24"/>
          <w:szCs w:val="24"/>
        </w:rPr>
      </w:pPr>
    </w:p>
    <w:p>
      <w:pPr>
        <w:spacing w:line="360" w:lineRule="auto"/>
        <w:rPr>
          <w:sz w:val="24"/>
          <w:szCs w:val="24"/>
        </w:rPr>
      </w:pPr>
      <w:r>
        <w:rPr>
          <w:sz w:val="24"/>
          <w:szCs w:val="24"/>
        </w:rPr>
        <w:t>7.商业伦理</w:t>
      </w:r>
    </w:p>
    <w:p>
      <w:pPr>
        <w:spacing w:line="360" w:lineRule="auto"/>
        <w:rPr>
          <w:sz w:val="24"/>
          <w:szCs w:val="24"/>
        </w:rPr>
      </w:pPr>
      <w:r>
        <w:rPr>
          <w:rFonts w:hint="eastAsia"/>
          <w:sz w:val="24"/>
          <w:szCs w:val="24"/>
        </w:rPr>
        <w:t>学员应能够在日常管理与企业社会责任的层面上，识别及解决商业伦理的问题。</w:t>
      </w:r>
    </w:p>
    <w:p>
      <w:pPr>
        <w:spacing w:line="360" w:lineRule="auto"/>
        <w:rPr>
          <w:sz w:val="24"/>
          <w:szCs w:val="24"/>
        </w:rPr>
      </w:pPr>
    </w:p>
    <w:p>
      <w:pPr>
        <w:spacing w:line="360" w:lineRule="auto"/>
        <w:rPr>
          <w:b/>
          <w:bCs/>
          <w:color w:val="7030A0"/>
          <w:sz w:val="24"/>
          <w:szCs w:val="24"/>
        </w:rPr>
      </w:pPr>
      <w:r>
        <w:rPr>
          <w:rFonts w:hint="eastAsia"/>
          <w:b/>
          <w:bCs/>
          <w:color w:val="7030A0"/>
          <w:sz w:val="24"/>
          <w:szCs w:val="24"/>
        </w:rPr>
        <w:t>四、课程设置</w:t>
      </w:r>
    </w:p>
    <w:p>
      <w:pPr>
        <w:spacing w:line="360" w:lineRule="auto"/>
        <w:rPr>
          <w:sz w:val="24"/>
          <w:szCs w:val="24"/>
        </w:rPr>
      </w:pPr>
      <w:r>
        <w:rPr>
          <w:rFonts w:hint="eastAsia"/>
          <w:sz w:val="24"/>
          <w:szCs w:val="24"/>
        </w:rPr>
        <w:t>整个课程共</w:t>
      </w:r>
      <w:r>
        <w:rPr>
          <w:sz w:val="24"/>
          <w:szCs w:val="24"/>
        </w:rPr>
        <w:t>39学分，</w:t>
      </w:r>
    </w:p>
    <w:p>
      <w:pPr>
        <w:spacing w:line="360" w:lineRule="auto"/>
        <w:rPr>
          <w:sz w:val="24"/>
          <w:szCs w:val="24"/>
        </w:rPr>
      </w:pPr>
      <w:r>
        <w:rPr>
          <w:rFonts w:hint="eastAsia"/>
          <w:sz w:val="24"/>
          <w:szCs w:val="24"/>
        </w:rPr>
        <w:t>必修科目</w:t>
      </w:r>
      <w:r>
        <w:rPr>
          <w:sz w:val="24"/>
          <w:szCs w:val="24"/>
        </w:rPr>
        <w:t>30学分包含10门3学分科目及一个MBA工作坊 (MBA Orientation Workshop)</w:t>
      </w:r>
    </w:p>
    <w:p>
      <w:pPr>
        <w:spacing w:line="360" w:lineRule="auto"/>
        <w:rPr>
          <w:sz w:val="24"/>
          <w:szCs w:val="24"/>
        </w:rPr>
      </w:pPr>
      <w:r>
        <w:rPr>
          <w:rFonts w:hint="eastAsia"/>
          <w:sz w:val="24"/>
          <w:szCs w:val="24"/>
        </w:rPr>
        <w:t>选修科目共</w:t>
      </w:r>
      <w:r>
        <w:rPr>
          <w:sz w:val="24"/>
          <w:szCs w:val="24"/>
        </w:rPr>
        <w:t>9学分：</w:t>
      </w:r>
    </w:p>
    <w:p>
      <w:pPr>
        <w:spacing w:line="360" w:lineRule="auto"/>
        <w:rPr>
          <w:sz w:val="24"/>
          <w:szCs w:val="24"/>
        </w:rPr>
      </w:pPr>
      <w:r>
        <w:rPr>
          <w:sz w:val="24"/>
          <w:szCs w:val="24"/>
        </w:rPr>
        <w:t>3门3学分科目或1门3学分科目及1门6学分科目</w:t>
      </w:r>
    </w:p>
    <w:p>
      <w:pPr>
        <w:spacing w:line="360" w:lineRule="auto"/>
        <w:rPr>
          <w:sz w:val="24"/>
          <w:szCs w:val="24"/>
        </w:rPr>
      </w:pPr>
    </w:p>
    <w:p>
      <w:pPr>
        <w:spacing w:line="360" w:lineRule="auto"/>
        <w:rPr>
          <w:b/>
          <w:bCs/>
          <w:sz w:val="24"/>
          <w:szCs w:val="24"/>
        </w:rPr>
      </w:pPr>
      <w:r>
        <w:rPr>
          <w:rFonts w:hint="eastAsia"/>
          <w:b/>
          <w:bCs/>
          <w:sz w:val="24"/>
          <w:szCs w:val="24"/>
        </w:rPr>
        <w:t>课程结构及各科目如下：</w:t>
      </w:r>
    </w:p>
    <w:p>
      <w:pPr>
        <w:spacing w:line="360" w:lineRule="auto"/>
        <w:rPr>
          <w:sz w:val="24"/>
          <w:szCs w:val="24"/>
        </w:rPr>
      </w:pPr>
    </w:p>
    <w:p>
      <w:pPr>
        <w:spacing w:line="360" w:lineRule="auto"/>
        <w:rPr>
          <w:b/>
          <w:bCs/>
          <w:color w:val="7030A0"/>
          <w:sz w:val="24"/>
          <w:szCs w:val="24"/>
        </w:rPr>
      </w:pPr>
      <w:r>
        <w:rPr>
          <w:rFonts w:hint="eastAsia"/>
          <w:b/>
          <w:bCs/>
          <w:color w:val="7030A0"/>
          <w:sz w:val="24"/>
          <w:szCs w:val="24"/>
        </w:rPr>
        <w:t>第一学年</w:t>
      </w:r>
    </w:p>
    <w:p>
      <w:pPr>
        <w:spacing w:line="360" w:lineRule="auto"/>
        <w:rPr>
          <w:sz w:val="24"/>
          <w:szCs w:val="24"/>
        </w:rPr>
      </w:pPr>
    </w:p>
    <w:p>
      <w:pPr>
        <w:spacing w:line="360" w:lineRule="auto"/>
        <w:rPr>
          <w:sz w:val="24"/>
          <w:szCs w:val="24"/>
        </w:rPr>
      </w:pPr>
      <w:r>
        <w:rPr>
          <w:sz w:val="24"/>
          <w:szCs w:val="24"/>
        </w:rPr>
        <w:t>Accounting for Managers (管理人员会计实务)</w:t>
      </w:r>
    </w:p>
    <w:p>
      <w:pPr>
        <w:spacing w:line="360" w:lineRule="auto"/>
        <w:rPr>
          <w:sz w:val="24"/>
          <w:szCs w:val="24"/>
        </w:rPr>
      </w:pPr>
      <w:r>
        <w:rPr>
          <w:sz w:val="24"/>
          <w:szCs w:val="24"/>
        </w:rPr>
        <w:t>Financial Management (财务管理)</w:t>
      </w:r>
    </w:p>
    <w:p>
      <w:pPr>
        <w:spacing w:line="360" w:lineRule="auto"/>
        <w:rPr>
          <w:sz w:val="24"/>
          <w:szCs w:val="24"/>
        </w:rPr>
      </w:pPr>
      <w:r>
        <w:rPr>
          <w:sz w:val="24"/>
          <w:szCs w:val="24"/>
        </w:rPr>
        <w:t>Global Economic Environment for Management (管理经济学)</w:t>
      </w:r>
    </w:p>
    <w:p>
      <w:pPr>
        <w:spacing w:line="360" w:lineRule="auto"/>
        <w:rPr>
          <w:sz w:val="24"/>
          <w:szCs w:val="24"/>
        </w:rPr>
      </w:pPr>
      <w:r>
        <w:rPr>
          <w:sz w:val="24"/>
          <w:szCs w:val="24"/>
        </w:rPr>
        <w:t>Managing Operations Systems (管理运营系统)</w:t>
      </w:r>
    </w:p>
    <w:p>
      <w:pPr>
        <w:spacing w:line="360" w:lineRule="auto"/>
        <w:rPr>
          <w:sz w:val="24"/>
          <w:szCs w:val="24"/>
        </w:rPr>
      </w:pPr>
      <w:r>
        <w:rPr>
          <w:sz w:val="24"/>
          <w:szCs w:val="24"/>
        </w:rPr>
        <w:t>MBA Orientation Workshop (MBA工作坊)</w:t>
      </w:r>
    </w:p>
    <w:p>
      <w:pPr>
        <w:spacing w:line="360" w:lineRule="auto"/>
        <w:rPr>
          <w:sz w:val="24"/>
          <w:szCs w:val="24"/>
        </w:rPr>
      </w:pPr>
      <w:r>
        <w:rPr>
          <w:sz w:val="24"/>
          <w:szCs w:val="24"/>
        </w:rPr>
        <w:t>Organizational Behavior &amp; Leadership (组织行为及领导力)</w:t>
      </w:r>
    </w:p>
    <w:p>
      <w:pPr>
        <w:spacing w:line="360" w:lineRule="auto"/>
        <w:rPr>
          <w:sz w:val="24"/>
          <w:szCs w:val="24"/>
        </w:rPr>
      </w:pPr>
      <w:r>
        <w:rPr>
          <w:sz w:val="24"/>
          <w:szCs w:val="24"/>
        </w:rPr>
        <w:t>Management Information Systems (管理信息系统)</w:t>
      </w:r>
    </w:p>
    <w:p>
      <w:pPr>
        <w:spacing w:line="360" w:lineRule="auto"/>
        <w:rPr>
          <w:sz w:val="24"/>
          <w:szCs w:val="24"/>
        </w:rPr>
      </w:pPr>
      <w:r>
        <w:rPr>
          <w:sz w:val="24"/>
          <w:szCs w:val="24"/>
        </w:rPr>
        <w:t>Marketing Management (市场营销管理)</w:t>
      </w:r>
    </w:p>
    <w:p>
      <w:pPr>
        <w:spacing w:line="360" w:lineRule="auto"/>
        <w:rPr>
          <w:sz w:val="24"/>
          <w:szCs w:val="24"/>
        </w:rPr>
      </w:pPr>
    </w:p>
    <w:p>
      <w:pPr>
        <w:spacing w:line="360" w:lineRule="auto"/>
        <w:rPr>
          <w:b/>
          <w:bCs/>
          <w:sz w:val="24"/>
          <w:szCs w:val="24"/>
        </w:rPr>
      </w:pPr>
      <w:r>
        <w:rPr>
          <w:rFonts w:hint="eastAsia"/>
          <w:b/>
          <w:bCs/>
          <w:sz w:val="24"/>
          <w:szCs w:val="24"/>
        </w:rPr>
        <w:t>学员完成第一学年科目取得</w:t>
      </w:r>
      <w:r>
        <w:rPr>
          <w:b/>
          <w:bCs/>
          <w:sz w:val="24"/>
          <w:szCs w:val="24"/>
        </w:rPr>
        <w:t>21学分，可申请以「工商管理深造文凭」(Postgraduate Diploma (PgD) in Business Administration) 毕业。</w:t>
      </w:r>
    </w:p>
    <w:p>
      <w:pPr>
        <w:spacing w:line="360" w:lineRule="auto"/>
        <w:rPr>
          <w:sz w:val="24"/>
          <w:szCs w:val="24"/>
        </w:rPr>
      </w:pPr>
    </w:p>
    <w:p>
      <w:pPr>
        <w:spacing w:line="360" w:lineRule="auto"/>
        <w:rPr>
          <w:b/>
          <w:bCs/>
          <w:color w:val="7030A0"/>
          <w:sz w:val="24"/>
          <w:szCs w:val="24"/>
        </w:rPr>
      </w:pPr>
      <w:r>
        <w:rPr>
          <w:rFonts w:hint="eastAsia"/>
          <w:b/>
          <w:bCs/>
          <w:color w:val="7030A0"/>
          <w:sz w:val="24"/>
          <w:szCs w:val="24"/>
        </w:rPr>
        <w:t>第二学年</w:t>
      </w:r>
    </w:p>
    <w:p>
      <w:pPr>
        <w:spacing w:line="360" w:lineRule="auto"/>
        <w:rPr>
          <w:sz w:val="24"/>
          <w:szCs w:val="24"/>
        </w:rPr>
      </w:pPr>
    </w:p>
    <w:p>
      <w:pPr>
        <w:spacing w:line="360" w:lineRule="auto"/>
        <w:rPr>
          <w:sz w:val="24"/>
          <w:szCs w:val="24"/>
        </w:rPr>
      </w:pPr>
      <w:r>
        <w:rPr>
          <w:sz w:val="24"/>
          <w:szCs w:val="24"/>
        </w:rPr>
        <w:t>Business Analytics (商业分析)</w:t>
      </w:r>
    </w:p>
    <w:p>
      <w:pPr>
        <w:spacing w:line="360" w:lineRule="auto"/>
        <w:rPr>
          <w:sz w:val="24"/>
          <w:szCs w:val="24"/>
        </w:rPr>
      </w:pPr>
      <w:r>
        <w:rPr>
          <w:sz w:val="24"/>
          <w:szCs w:val="24"/>
        </w:rPr>
        <w:t>Ethics, Responsibility and Sustainability (道德伦理、责任及可持续发展)</w:t>
      </w:r>
    </w:p>
    <w:p>
      <w:pPr>
        <w:spacing w:line="360" w:lineRule="auto"/>
        <w:rPr>
          <w:sz w:val="24"/>
          <w:szCs w:val="24"/>
        </w:rPr>
      </w:pPr>
      <w:r>
        <w:rPr>
          <w:sz w:val="24"/>
          <w:szCs w:val="24"/>
        </w:rPr>
        <w:t>Management Policy and Strategy (管理政策与策略)</w:t>
      </w:r>
    </w:p>
    <w:p>
      <w:pPr>
        <w:spacing w:line="360" w:lineRule="auto"/>
        <w:rPr>
          <w:sz w:val="24"/>
          <w:szCs w:val="24"/>
        </w:rPr>
      </w:pPr>
      <w:r>
        <w:rPr>
          <w:rFonts w:hint="eastAsia"/>
          <w:sz w:val="24"/>
          <w:szCs w:val="24"/>
        </w:rPr>
        <w:t>选修科目</w:t>
      </w:r>
      <w:r>
        <w:rPr>
          <w:sz w:val="24"/>
          <w:szCs w:val="24"/>
        </w:rPr>
        <w:t>9学分 (见以下选修科目)</w:t>
      </w:r>
    </w:p>
    <w:p>
      <w:pPr>
        <w:spacing w:line="360" w:lineRule="auto"/>
        <w:rPr>
          <w:sz w:val="24"/>
          <w:szCs w:val="24"/>
        </w:rPr>
      </w:pPr>
    </w:p>
    <w:p>
      <w:pPr>
        <w:spacing w:line="360" w:lineRule="auto"/>
        <w:rPr>
          <w:b/>
          <w:bCs/>
          <w:sz w:val="24"/>
          <w:szCs w:val="24"/>
        </w:rPr>
      </w:pPr>
      <w:r>
        <w:rPr>
          <w:rFonts w:hint="eastAsia"/>
          <w:b/>
          <w:bCs/>
          <w:sz w:val="24"/>
          <w:szCs w:val="24"/>
        </w:rPr>
        <w:t>学员成功取得</w:t>
      </w:r>
      <w:r>
        <w:rPr>
          <w:b/>
          <w:bCs/>
          <w:sz w:val="24"/>
          <w:szCs w:val="24"/>
        </w:rPr>
        <w:t>39学分后，可获颁「工商管理硕士」学位 (Master of Business Administration (MBA) award)。</w:t>
      </w:r>
    </w:p>
    <w:p>
      <w:pPr>
        <w:spacing w:line="360" w:lineRule="auto"/>
        <w:rPr>
          <w:sz w:val="24"/>
          <w:szCs w:val="24"/>
        </w:rPr>
      </w:pPr>
    </w:p>
    <w:p>
      <w:pPr>
        <w:spacing w:line="360" w:lineRule="auto"/>
        <w:rPr>
          <w:b/>
          <w:bCs/>
          <w:sz w:val="24"/>
          <w:szCs w:val="24"/>
        </w:rPr>
      </w:pPr>
      <w:r>
        <w:rPr>
          <w:rFonts w:hint="eastAsia"/>
          <w:b/>
          <w:bCs/>
          <w:sz w:val="24"/>
          <w:szCs w:val="24"/>
        </w:rPr>
        <w:t>选修科目</w:t>
      </w:r>
    </w:p>
    <w:p>
      <w:pPr>
        <w:spacing w:line="360" w:lineRule="auto"/>
        <w:rPr>
          <w:sz w:val="24"/>
          <w:szCs w:val="24"/>
        </w:rPr>
      </w:pPr>
      <w:r>
        <w:rPr>
          <w:rFonts w:hint="eastAsia"/>
          <w:sz w:val="24"/>
          <w:szCs w:val="24"/>
        </w:rPr>
        <w:t>学员须完成合共</w:t>
      </w:r>
      <w:r>
        <w:rPr>
          <w:sz w:val="24"/>
          <w:szCs w:val="24"/>
        </w:rPr>
        <w:t>9个学分的选修科目以符合课程要求。专业选修的学员须在四大范畴(即「Finance (金融)」、「Corporate Management (企业管理)」、「International Business (国际商业)」和「Business Research (商业研究)」) 其中之一选择修读合共9个学分的「选修范畴科目」。非专业选修学员可在任何「选修范畴科目」或「其他选修科目」中选择修读合共9个学分的科目。</w:t>
      </w:r>
    </w:p>
    <w:p>
      <w:pPr>
        <w:spacing w:line="360" w:lineRule="auto"/>
        <w:rPr>
          <w:sz w:val="24"/>
          <w:szCs w:val="24"/>
        </w:rPr>
      </w:pPr>
    </w:p>
    <w:p>
      <w:pPr>
        <w:spacing w:line="360" w:lineRule="auto"/>
        <w:rPr>
          <w:b/>
          <w:bCs/>
          <w:color w:val="7030A0"/>
          <w:sz w:val="24"/>
          <w:szCs w:val="24"/>
        </w:rPr>
      </w:pPr>
      <w:r>
        <w:rPr>
          <w:b/>
          <w:bCs/>
          <w:color w:val="7030A0"/>
          <w:sz w:val="24"/>
          <w:szCs w:val="24"/>
        </w:rPr>
        <w:t>Finance Stream (金融范畴) (每门3学分)</w:t>
      </w:r>
    </w:p>
    <w:p>
      <w:pPr>
        <w:spacing w:line="360" w:lineRule="auto"/>
        <w:rPr>
          <w:sz w:val="24"/>
          <w:szCs w:val="24"/>
        </w:rPr>
      </w:pPr>
    </w:p>
    <w:p>
      <w:pPr>
        <w:spacing w:line="360" w:lineRule="auto"/>
        <w:rPr>
          <w:sz w:val="24"/>
          <w:szCs w:val="24"/>
        </w:rPr>
      </w:pPr>
      <w:r>
        <w:rPr>
          <w:sz w:val="24"/>
          <w:szCs w:val="24"/>
        </w:rPr>
        <w:t>Management Accounting (管理会计学)</w:t>
      </w:r>
    </w:p>
    <w:p>
      <w:pPr>
        <w:spacing w:line="360" w:lineRule="auto"/>
        <w:rPr>
          <w:sz w:val="24"/>
          <w:szCs w:val="24"/>
        </w:rPr>
      </w:pPr>
      <w:r>
        <w:rPr>
          <w:sz w:val="24"/>
          <w:szCs w:val="24"/>
        </w:rPr>
        <w:t>Contemporary Issues in Accounting Information Systems (会计信息系统当代议题)</w:t>
      </w:r>
    </w:p>
    <w:p>
      <w:pPr>
        <w:spacing w:line="360" w:lineRule="auto"/>
        <w:rPr>
          <w:sz w:val="24"/>
          <w:szCs w:val="24"/>
        </w:rPr>
      </w:pPr>
      <w:r>
        <w:rPr>
          <w:sz w:val="24"/>
          <w:szCs w:val="24"/>
        </w:rPr>
        <w:t>Mergers and Acquisitions (兼并与收购)</w:t>
      </w:r>
    </w:p>
    <w:p>
      <w:pPr>
        <w:spacing w:line="360" w:lineRule="auto"/>
        <w:rPr>
          <w:sz w:val="24"/>
          <w:szCs w:val="24"/>
        </w:rPr>
      </w:pPr>
      <w:r>
        <w:rPr>
          <w:sz w:val="24"/>
          <w:szCs w:val="24"/>
        </w:rPr>
        <w:t>Fixed Income Securities (固定收益证券)</w:t>
      </w:r>
    </w:p>
    <w:p>
      <w:pPr>
        <w:spacing w:line="360" w:lineRule="auto"/>
        <w:rPr>
          <w:sz w:val="24"/>
          <w:szCs w:val="24"/>
        </w:rPr>
      </w:pPr>
      <w:r>
        <w:rPr>
          <w:sz w:val="24"/>
          <w:szCs w:val="24"/>
        </w:rPr>
        <w:t>Investments (投资学)</w:t>
      </w:r>
    </w:p>
    <w:p>
      <w:pPr>
        <w:spacing w:line="360" w:lineRule="auto"/>
        <w:rPr>
          <w:sz w:val="24"/>
          <w:szCs w:val="24"/>
        </w:rPr>
      </w:pPr>
      <w:r>
        <w:rPr>
          <w:sz w:val="24"/>
          <w:szCs w:val="24"/>
        </w:rPr>
        <w:t>Entrepreneurial Finance (创业金融学)</w:t>
      </w:r>
    </w:p>
    <w:p>
      <w:pPr>
        <w:spacing w:line="360" w:lineRule="auto"/>
        <w:rPr>
          <w:sz w:val="24"/>
          <w:szCs w:val="24"/>
        </w:rPr>
      </w:pPr>
      <w:r>
        <w:rPr>
          <w:sz w:val="24"/>
          <w:szCs w:val="24"/>
        </w:rPr>
        <w:t>Financial Analysis and Valuation (财务分析及评估)</w:t>
      </w:r>
    </w:p>
    <w:p>
      <w:pPr>
        <w:spacing w:line="360" w:lineRule="auto"/>
        <w:rPr>
          <w:sz w:val="24"/>
          <w:szCs w:val="24"/>
        </w:rPr>
      </w:pPr>
      <w:r>
        <w:rPr>
          <w:sz w:val="24"/>
          <w:szCs w:val="24"/>
        </w:rPr>
        <w:t>International Financial Management (国际财务管理)</w:t>
      </w:r>
    </w:p>
    <w:p>
      <w:pPr>
        <w:spacing w:line="360" w:lineRule="auto"/>
        <w:rPr>
          <w:sz w:val="24"/>
          <w:szCs w:val="24"/>
        </w:rPr>
      </w:pPr>
      <w:r>
        <w:rPr>
          <w:sz w:val="24"/>
          <w:szCs w:val="24"/>
        </w:rPr>
        <w:t>Project (专题研习)</w:t>
      </w:r>
    </w:p>
    <w:p>
      <w:pPr>
        <w:spacing w:line="360" w:lineRule="auto"/>
        <w:rPr>
          <w:sz w:val="24"/>
          <w:szCs w:val="24"/>
        </w:rPr>
      </w:pPr>
      <w:r>
        <w:rPr>
          <w:sz w:val="24"/>
          <w:szCs w:val="24"/>
        </w:rPr>
        <w:t>Field Study for Business Management (企业考察)</w:t>
      </w:r>
    </w:p>
    <w:p>
      <w:pPr>
        <w:spacing w:line="360" w:lineRule="auto"/>
        <w:rPr>
          <w:sz w:val="24"/>
          <w:szCs w:val="24"/>
        </w:rPr>
      </w:pPr>
    </w:p>
    <w:p>
      <w:pPr>
        <w:spacing w:line="360" w:lineRule="auto"/>
        <w:rPr>
          <w:b/>
          <w:bCs/>
          <w:color w:val="7030A0"/>
          <w:sz w:val="24"/>
          <w:szCs w:val="24"/>
        </w:rPr>
      </w:pPr>
      <w:r>
        <w:rPr>
          <w:b/>
          <w:bCs/>
          <w:color w:val="7030A0"/>
          <w:sz w:val="24"/>
          <w:szCs w:val="24"/>
        </w:rPr>
        <w:t>Corporate Management Stream (企业管理范畴) (每门3学分)</w:t>
      </w:r>
    </w:p>
    <w:p>
      <w:pPr>
        <w:spacing w:line="360" w:lineRule="auto"/>
        <w:rPr>
          <w:sz w:val="24"/>
          <w:szCs w:val="24"/>
        </w:rPr>
      </w:pPr>
    </w:p>
    <w:p>
      <w:pPr>
        <w:spacing w:line="360" w:lineRule="auto"/>
        <w:rPr>
          <w:sz w:val="24"/>
          <w:szCs w:val="24"/>
        </w:rPr>
      </w:pPr>
      <w:r>
        <w:rPr>
          <w:sz w:val="24"/>
          <w:szCs w:val="24"/>
        </w:rPr>
        <w:t>Management Accounting (管理会计学)</w:t>
      </w:r>
    </w:p>
    <w:p>
      <w:pPr>
        <w:spacing w:line="360" w:lineRule="auto"/>
        <w:rPr>
          <w:sz w:val="24"/>
          <w:szCs w:val="24"/>
        </w:rPr>
      </w:pPr>
      <w:r>
        <w:rPr>
          <w:sz w:val="24"/>
          <w:szCs w:val="24"/>
        </w:rPr>
        <w:t>Entrepreneurial Finance (创业金融学)</w:t>
      </w:r>
    </w:p>
    <w:p>
      <w:pPr>
        <w:spacing w:line="360" w:lineRule="auto"/>
        <w:rPr>
          <w:sz w:val="24"/>
          <w:szCs w:val="24"/>
        </w:rPr>
      </w:pPr>
      <w:r>
        <w:rPr>
          <w:sz w:val="24"/>
          <w:szCs w:val="24"/>
        </w:rPr>
        <w:t>Financial Analysis and Valuation (财务分析及评估)</w:t>
      </w:r>
    </w:p>
    <w:p>
      <w:pPr>
        <w:spacing w:line="360" w:lineRule="auto"/>
        <w:rPr>
          <w:sz w:val="24"/>
          <w:szCs w:val="24"/>
        </w:rPr>
      </w:pPr>
      <w:r>
        <w:rPr>
          <w:sz w:val="24"/>
          <w:szCs w:val="24"/>
        </w:rPr>
        <w:t>Project (专题研习)</w:t>
      </w:r>
    </w:p>
    <w:p>
      <w:pPr>
        <w:spacing w:line="360" w:lineRule="auto"/>
        <w:rPr>
          <w:sz w:val="24"/>
          <w:szCs w:val="24"/>
        </w:rPr>
      </w:pPr>
      <w:r>
        <w:rPr>
          <w:sz w:val="24"/>
          <w:szCs w:val="24"/>
        </w:rPr>
        <w:t>Global Sourcing and Supply (全球采购及供应)</w:t>
      </w:r>
    </w:p>
    <w:p>
      <w:pPr>
        <w:spacing w:line="360" w:lineRule="auto"/>
        <w:rPr>
          <w:sz w:val="24"/>
          <w:szCs w:val="24"/>
        </w:rPr>
      </w:pPr>
      <w:r>
        <w:rPr>
          <w:sz w:val="24"/>
          <w:szCs w:val="24"/>
        </w:rPr>
        <w:t>Negotiation and Conflict Management  (谈判与冲突管理)</w:t>
      </w:r>
    </w:p>
    <w:p>
      <w:pPr>
        <w:spacing w:line="360" w:lineRule="auto"/>
        <w:rPr>
          <w:sz w:val="24"/>
          <w:szCs w:val="24"/>
        </w:rPr>
      </w:pPr>
      <w:r>
        <w:rPr>
          <w:sz w:val="24"/>
          <w:szCs w:val="24"/>
        </w:rPr>
        <w:t>Global Leadership in the Asian Context (国际领导力：在亚洲环境的应用)</w:t>
      </w:r>
    </w:p>
    <w:p>
      <w:pPr>
        <w:spacing w:line="360" w:lineRule="auto"/>
        <w:rPr>
          <w:sz w:val="24"/>
          <w:szCs w:val="24"/>
        </w:rPr>
      </w:pPr>
      <w:r>
        <w:rPr>
          <w:sz w:val="24"/>
          <w:szCs w:val="24"/>
        </w:rPr>
        <w:t>Strategic Human Resource Management (战略人力资源管理)</w:t>
      </w:r>
    </w:p>
    <w:p>
      <w:pPr>
        <w:spacing w:line="360" w:lineRule="auto"/>
        <w:rPr>
          <w:sz w:val="24"/>
          <w:szCs w:val="24"/>
        </w:rPr>
      </w:pPr>
      <w:r>
        <w:rPr>
          <w:sz w:val="24"/>
          <w:szCs w:val="24"/>
        </w:rPr>
        <w:t>Field Study for Business Management (企业考察)</w:t>
      </w:r>
    </w:p>
    <w:p>
      <w:pPr>
        <w:spacing w:line="360" w:lineRule="auto"/>
        <w:rPr>
          <w:sz w:val="24"/>
          <w:szCs w:val="24"/>
        </w:rPr>
      </w:pPr>
    </w:p>
    <w:p>
      <w:pPr>
        <w:spacing w:line="360" w:lineRule="auto"/>
        <w:rPr>
          <w:b/>
          <w:bCs/>
          <w:color w:val="7030A0"/>
          <w:sz w:val="24"/>
          <w:szCs w:val="24"/>
        </w:rPr>
      </w:pPr>
      <w:r>
        <w:rPr>
          <w:b/>
          <w:bCs/>
          <w:color w:val="7030A0"/>
          <w:sz w:val="24"/>
          <w:szCs w:val="24"/>
        </w:rPr>
        <w:t>International Business Stream (国际商业范畴) (每门3学分)</w:t>
      </w:r>
    </w:p>
    <w:p>
      <w:pPr>
        <w:spacing w:line="360" w:lineRule="auto"/>
        <w:rPr>
          <w:sz w:val="24"/>
          <w:szCs w:val="24"/>
        </w:rPr>
      </w:pPr>
    </w:p>
    <w:p>
      <w:pPr>
        <w:spacing w:line="360" w:lineRule="auto"/>
        <w:rPr>
          <w:sz w:val="24"/>
          <w:szCs w:val="24"/>
        </w:rPr>
      </w:pPr>
      <w:r>
        <w:rPr>
          <w:sz w:val="24"/>
          <w:szCs w:val="24"/>
        </w:rPr>
        <w:t>Investments (投资学)</w:t>
      </w:r>
    </w:p>
    <w:p>
      <w:pPr>
        <w:spacing w:line="360" w:lineRule="auto"/>
        <w:rPr>
          <w:sz w:val="24"/>
          <w:szCs w:val="24"/>
        </w:rPr>
      </w:pPr>
      <w:r>
        <w:rPr>
          <w:sz w:val="24"/>
          <w:szCs w:val="24"/>
        </w:rPr>
        <w:t>International Financial Management (国际财务管理)</w:t>
      </w:r>
    </w:p>
    <w:p>
      <w:pPr>
        <w:spacing w:line="360" w:lineRule="auto"/>
        <w:rPr>
          <w:sz w:val="24"/>
          <w:szCs w:val="24"/>
        </w:rPr>
      </w:pPr>
      <w:r>
        <w:rPr>
          <w:sz w:val="24"/>
          <w:szCs w:val="24"/>
        </w:rPr>
        <w:t>Global Sourcing and Supply (全球采购及供应)</w:t>
      </w:r>
    </w:p>
    <w:p>
      <w:pPr>
        <w:spacing w:line="360" w:lineRule="auto"/>
        <w:rPr>
          <w:sz w:val="24"/>
          <w:szCs w:val="24"/>
        </w:rPr>
      </w:pPr>
      <w:r>
        <w:rPr>
          <w:sz w:val="24"/>
          <w:szCs w:val="24"/>
        </w:rPr>
        <w:t>International Management (国际管理)</w:t>
      </w:r>
    </w:p>
    <w:p>
      <w:pPr>
        <w:spacing w:line="360" w:lineRule="auto"/>
        <w:rPr>
          <w:sz w:val="24"/>
          <w:szCs w:val="24"/>
        </w:rPr>
      </w:pPr>
      <w:r>
        <w:rPr>
          <w:sz w:val="24"/>
          <w:szCs w:val="24"/>
        </w:rPr>
        <w:t>Field Study for Business Management (企业考察)</w:t>
      </w:r>
    </w:p>
    <w:p>
      <w:pPr>
        <w:spacing w:line="360" w:lineRule="auto"/>
        <w:rPr>
          <w:sz w:val="24"/>
          <w:szCs w:val="24"/>
        </w:rPr>
      </w:pPr>
    </w:p>
    <w:p>
      <w:pPr>
        <w:spacing w:line="360" w:lineRule="auto"/>
        <w:rPr>
          <w:b/>
          <w:bCs/>
          <w:color w:val="7030A0"/>
          <w:sz w:val="24"/>
          <w:szCs w:val="24"/>
        </w:rPr>
      </w:pPr>
      <w:r>
        <w:rPr>
          <w:b/>
          <w:bCs/>
          <w:color w:val="7030A0"/>
          <w:sz w:val="24"/>
          <w:szCs w:val="24"/>
        </w:rPr>
        <w:t>Business Research Stream (商业研究范畴)</w:t>
      </w:r>
    </w:p>
    <w:p>
      <w:pPr>
        <w:spacing w:line="360" w:lineRule="auto"/>
        <w:rPr>
          <w:sz w:val="24"/>
          <w:szCs w:val="24"/>
        </w:rPr>
      </w:pPr>
    </w:p>
    <w:p>
      <w:pPr>
        <w:spacing w:line="360" w:lineRule="auto"/>
        <w:rPr>
          <w:sz w:val="24"/>
          <w:szCs w:val="24"/>
        </w:rPr>
      </w:pPr>
      <w:r>
        <w:rPr>
          <w:sz w:val="24"/>
          <w:szCs w:val="24"/>
        </w:rPr>
        <w:t>Research Methods (研究方法) (3学分)</w:t>
      </w:r>
    </w:p>
    <w:p>
      <w:pPr>
        <w:spacing w:line="360" w:lineRule="auto"/>
        <w:rPr>
          <w:sz w:val="24"/>
          <w:szCs w:val="24"/>
        </w:rPr>
      </w:pPr>
      <w:r>
        <w:rPr>
          <w:sz w:val="24"/>
          <w:szCs w:val="24"/>
        </w:rPr>
        <w:t>MBA Investigative Report (MBA调研报告) (6学分)</w:t>
      </w:r>
    </w:p>
    <w:p>
      <w:pPr>
        <w:spacing w:line="360" w:lineRule="auto"/>
        <w:rPr>
          <w:sz w:val="24"/>
          <w:szCs w:val="24"/>
        </w:rPr>
      </w:pPr>
    </w:p>
    <w:p>
      <w:pPr>
        <w:spacing w:line="360" w:lineRule="auto"/>
        <w:rPr>
          <w:b/>
          <w:bCs/>
          <w:color w:val="7030A0"/>
          <w:sz w:val="24"/>
          <w:szCs w:val="24"/>
        </w:rPr>
      </w:pPr>
      <w:r>
        <w:rPr>
          <w:b/>
          <w:bCs/>
          <w:color w:val="7030A0"/>
          <w:sz w:val="24"/>
          <w:szCs w:val="24"/>
        </w:rPr>
        <w:t>Other Electives 其他选修科目 (每门3学分):</w:t>
      </w:r>
    </w:p>
    <w:p>
      <w:pPr>
        <w:spacing w:line="360" w:lineRule="auto"/>
        <w:rPr>
          <w:sz w:val="24"/>
          <w:szCs w:val="24"/>
        </w:rPr>
      </w:pPr>
    </w:p>
    <w:p>
      <w:pPr>
        <w:spacing w:line="360" w:lineRule="auto"/>
        <w:rPr>
          <w:sz w:val="24"/>
          <w:szCs w:val="24"/>
        </w:rPr>
      </w:pPr>
      <w:r>
        <w:rPr>
          <w:sz w:val="24"/>
          <w:szCs w:val="24"/>
        </w:rPr>
        <w:t>Supply Chain Management (供应链管理)</w:t>
      </w:r>
    </w:p>
    <w:p>
      <w:pPr>
        <w:spacing w:line="360" w:lineRule="auto"/>
        <w:rPr>
          <w:sz w:val="24"/>
          <w:szCs w:val="24"/>
        </w:rPr>
      </w:pPr>
      <w:r>
        <w:rPr>
          <w:sz w:val="24"/>
          <w:szCs w:val="24"/>
        </w:rPr>
        <w:t>Risk Management in Operations (运营风险管理)</w:t>
      </w:r>
    </w:p>
    <w:p>
      <w:pPr>
        <w:spacing w:line="360" w:lineRule="auto"/>
        <w:rPr>
          <w:sz w:val="24"/>
          <w:szCs w:val="24"/>
        </w:rPr>
      </w:pPr>
      <w:r>
        <w:rPr>
          <w:sz w:val="24"/>
          <w:szCs w:val="24"/>
        </w:rPr>
        <w:t>Applications of Decision Making Models (决策模式的应用)</w:t>
      </w:r>
    </w:p>
    <w:p>
      <w:pPr>
        <w:spacing w:line="360" w:lineRule="auto"/>
        <w:rPr>
          <w:sz w:val="24"/>
          <w:szCs w:val="24"/>
        </w:rPr>
      </w:pPr>
      <w:r>
        <w:rPr>
          <w:sz w:val="24"/>
          <w:szCs w:val="24"/>
        </w:rPr>
        <w:t>Information Systems for Supply Chain Management (供应链管理的信息系统)</w:t>
      </w:r>
    </w:p>
    <w:p>
      <w:pPr>
        <w:spacing w:line="360" w:lineRule="auto"/>
        <w:rPr>
          <w:sz w:val="24"/>
          <w:szCs w:val="24"/>
        </w:rPr>
      </w:pPr>
      <w:r>
        <w:rPr>
          <w:sz w:val="24"/>
          <w:szCs w:val="24"/>
        </w:rPr>
        <w:t>Six Sigma and Quality Management Techniques (六西格玛及品质管理技术)</w:t>
      </w:r>
    </w:p>
    <w:p>
      <w:pPr>
        <w:spacing w:line="360" w:lineRule="auto"/>
        <w:rPr>
          <w:sz w:val="24"/>
          <w:szCs w:val="24"/>
        </w:rPr>
      </w:pPr>
      <w:r>
        <w:rPr>
          <w:sz w:val="24"/>
          <w:szCs w:val="24"/>
        </w:rPr>
        <w:t>Management of Pay and Benefits (薪酬与福利管理)</w:t>
      </w:r>
    </w:p>
    <w:p>
      <w:pPr>
        <w:spacing w:line="360" w:lineRule="auto"/>
        <w:rPr>
          <w:sz w:val="24"/>
          <w:szCs w:val="24"/>
        </w:rPr>
      </w:pPr>
      <w:r>
        <w:rPr>
          <w:sz w:val="24"/>
          <w:szCs w:val="24"/>
        </w:rPr>
        <w:t>E-commerce (电子商务)</w:t>
      </w:r>
    </w:p>
    <w:p>
      <w:pPr>
        <w:spacing w:line="360" w:lineRule="auto"/>
        <w:rPr>
          <w:sz w:val="24"/>
          <w:szCs w:val="24"/>
        </w:rPr>
      </w:pPr>
      <w:r>
        <w:rPr>
          <w:sz w:val="24"/>
          <w:szCs w:val="24"/>
        </w:rPr>
        <w:t>Marketing Strategy (市场营销策略)</w:t>
      </w:r>
    </w:p>
    <w:p>
      <w:pPr>
        <w:spacing w:line="360" w:lineRule="auto"/>
        <w:rPr>
          <w:sz w:val="24"/>
          <w:szCs w:val="24"/>
        </w:rPr>
      </w:pPr>
    </w:p>
    <w:p>
      <w:pPr>
        <w:spacing w:line="360" w:lineRule="auto"/>
        <w:rPr>
          <w:sz w:val="24"/>
          <w:szCs w:val="24"/>
        </w:rPr>
      </w:pPr>
      <w:r>
        <w:rPr>
          <w:rFonts w:hint="eastAsia"/>
          <w:sz w:val="24"/>
          <w:szCs w:val="24"/>
        </w:rPr>
        <w:t>备注：</w:t>
      </w:r>
    </w:p>
    <w:p>
      <w:pPr>
        <w:spacing w:line="360" w:lineRule="auto"/>
        <w:rPr>
          <w:sz w:val="24"/>
          <w:szCs w:val="24"/>
        </w:rPr>
      </w:pPr>
      <w:r>
        <w:rPr>
          <w:sz w:val="24"/>
          <w:szCs w:val="24"/>
        </w:rPr>
        <w:t>1.以上课程内容时有覆审及更改。</w:t>
      </w:r>
    </w:p>
    <w:p>
      <w:pPr>
        <w:spacing w:line="360" w:lineRule="auto"/>
        <w:rPr>
          <w:sz w:val="24"/>
          <w:szCs w:val="24"/>
        </w:rPr>
      </w:pPr>
      <w:r>
        <w:rPr>
          <w:sz w:val="24"/>
          <w:szCs w:val="24"/>
        </w:rPr>
        <w:t>2.以上课程采用英语课程大纲及以英语教材为主。另外，以上科目的中文翻译并非正式科目名称，仅供参考。</w:t>
      </w:r>
    </w:p>
    <w:p>
      <w:pPr>
        <w:spacing w:line="360" w:lineRule="auto"/>
        <w:rPr>
          <w:sz w:val="24"/>
          <w:szCs w:val="24"/>
        </w:rPr>
      </w:pPr>
      <w:r>
        <w:rPr>
          <w:sz w:val="24"/>
          <w:szCs w:val="24"/>
        </w:rPr>
        <w:t>3.每门选修科目或非每年开办。每年开办的选修科目取决于师资力量和报读人数能否达到校方最低注册人数的要求，而学员能否成功注册某科目亦须视乎该科目学额。</w:t>
      </w:r>
    </w:p>
    <w:p>
      <w:pPr>
        <w:spacing w:line="360" w:lineRule="auto"/>
        <w:rPr>
          <w:sz w:val="24"/>
          <w:szCs w:val="24"/>
        </w:rPr>
      </w:pPr>
    </w:p>
    <w:p>
      <w:pPr>
        <w:spacing w:line="360" w:lineRule="auto"/>
        <w:rPr>
          <w:b/>
          <w:bCs/>
          <w:color w:val="7030A0"/>
          <w:sz w:val="24"/>
          <w:szCs w:val="24"/>
        </w:rPr>
      </w:pPr>
      <w:r>
        <w:rPr>
          <w:rFonts w:hint="eastAsia"/>
          <w:b/>
          <w:bCs/>
          <w:color w:val="7030A0"/>
          <w:sz w:val="24"/>
          <w:szCs w:val="24"/>
        </w:rPr>
        <w:t>五、入学要求</w:t>
      </w:r>
      <w:r>
        <w:rPr>
          <w:b/>
          <w:bCs/>
          <w:color w:val="7030A0"/>
          <w:sz w:val="24"/>
          <w:szCs w:val="24"/>
        </w:rPr>
        <w:t xml:space="preserve"> </w:t>
      </w:r>
    </w:p>
    <w:p>
      <w:pPr>
        <w:spacing w:line="360" w:lineRule="auto"/>
        <w:rPr>
          <w:sz w:val="24"/>
          <w:szCs w:val="24"/>
        </w:rPr>
      </w:pPr>
      <w:r>
        <w:rPr>
          <w:rFonts w:hint="eastAsia"/>
          <w:sz w:val="24"/>
          <w:szCs w:val="24"/>
        </w:rPr>
        <w:t>持有学士学位或以上学历，或其它专业认可资格及</w:t>
      </w:r>
      <w:r>
        <w:rPr>
          <w:sz w:val="24"/>
          <w:szCs w:val="24"/>
        </w:rPr>
        <w:t>4年或以上管理或专业工作经验及通晓英语。</w:t>
      </w:r>
    </w:p>
    <w:p>
      <w:pPr>
        <w:spacing w:line="360" w:lineRule="auto"/>
        <w:rPr>
          <w:rFonts w:hint="default" w:eastAsiaTheme="minorEastAsia"/>
          <w:sz w:val="24"/>
          <w:szCs w:val="24"/>
          <w:lang w:val="en-US" w:eastAsia="zh-CN"/>
        </w:rPr>
      </w:pPr>
      <w:r>
        <w:rPr>
          <w:rFonts w:hint="eastAsia"/>
          <w:sz w:val="24"/>
          <w:szCs w:val="24"/>
        </w:rPr>
        <w:t>年满</w:t>
      </w:r>
      <w:r>
        <w:rPr>
          <w:sz w:val="24"/>
          <w:szCs w:val="24"/>
        </w:rPr>
        <w:t>35岁或以上，持有大专学历及具备8年或以上高层管理或专业工作经验申请人可获个别考虑</w:t>
      </w:r>
      <w:r>
        <w:rPr>
          <w:rFonts w:hint="eastAsia"/>
          <w:sz w:val="24"/>
          <w:szCs w:val="24"/>
        </w:rPr>
        <w:t>详询</w:t>
      </w:r>
      <w:r>
        <w:rPr>
          <w:rFonts w:hint="eastAsia"/>
          <w:sz w:val="24"/>
          <w:szCs w:val="24"/>
          <w:lang w:val="en-US" w:eastAsia="zh-CN"/>
        </w:rPr>
        <w:t>400-061-6586</w:t>
      </w:r>
    </w:p>
    <w:p>
      <w:pPr>
        <w:spacing w:line="360" w:lineRule="auto"/>
        <w:rPr>
          <w:sz w:val="24"/>
          <w:szCs w:val="24"/>
        </w:rPr>
      </w:pPr>
      <w:r>
        <w:rPr>
          <w:rFonts w:hint="eastAsia"/>
          <w:sz w:val="24"/>
          <w:szCs w:val="24"/>
        </w:rPr>
        <w:t>母语并非英语，而学士／硕士学位或同等学历由非英语院校颁发的申请人必须通过香港理工大学的英语笔试及入学面试。</w:t>
      </w:r>
    </w:p>
    <w:p>
      <w:pPr>
        <w:spacing w:line="360" w:lineRule="auto"/>
        <w:rPr>
          <w:sz w:val="24"/>
          <w:szCs w:val="24"/>
        </w:rPr>
      </w:pPr>
      <w:r>
        <w:rPr>
          <w:rFonts w:hint="eastAsia"/>
          <w:sz w:val="24"/>
          <w:szCs w:val="24"/>
        </w:rPr>
        <w:t>合适的申请人会获邀参加面试。面试的目的是为了解申请人的学习动机、沟通技巧及英语能力以确定申请人是否适合修读本课程。</w:t>
      </w:r>
    </w:p>
    <w:p>
      <w:pPr>
        <w:spacing w:line="360" w:lineRule="auto"/>
        <w:rPr>
          <w:sz w:val="24"/>
          <w:szCs w:val="24"/>
        </w:rPr>
      </w:pPr>
    </w:p>
    <w:p>
      <w:pPr>
        <w:spacing w:line="360" w:lineRule="auto"/>
        <w:rPr>
          <w:b/>
          <w:bCs/>
          <w:color w:val="7030A0"/>
          <w:sz w:val="24"/>
          <w:szCs w:val="24"/>
        </w:rPr>
      </w:pPr>
      <w:r>
        <w:rPr>
          <w:rFonts w:hint="eastAsia"/>
          <w:b/>
          <w:bCs/>
          <w:color w:val="7030A0"/>
          <w:sz w:val="24"/>
          <w:szCs w:val="24"/>
        </w:rPr>
        <w:t>六、学制学费</w:t>
      </w:r>
    </w:p>
    <w:p>
      <w:pPr>
        <w:spacing w:line="360" w:lineRule="auto"/>
        <w:rPr>
          <w:sz w:val="24"/>
          <w:szCs w:val="24"/>
        </w:rPr>
      </w:pPr>
      <w:r>
        <w:rPr>
          <w:rFonts w:hint="eastAsia"/>
          <w:sz w:val="24"/>
          <w:szCs w:val="24"/>
        </w:rPr>
        <w:t>在职学习两年</w:t>
      </w:r>
      <w:r>
        <w:rPr>
          <w:sz w:val="24"/>
          <w:szCs w:val="24"/>
        </w:rPr>
        <w:t xml:space="preserve"> (最长四年)大部分科目于周六、日上课，2019/2020年度学费为人民币40.17万元人民币，每年共招生150名。</w:t>
      </w:r>
    </w:p>
    <w:p>
      <w:pPr>
        <w:spacing w:line="360" w:lineRule="auto"/>
        <w:rPr>
          <w:sz w:val="24"/>
          <w:szCs w:val="24"/>
        </w:rPr>
      </w:pPr>
    </w:p>
    <w:p>
      <w:pPr>
        <w:spacing w:line="360" w:lineRule="auto"/>
        <w:rPr>
          <w:b/>
          <w:bCs/>
          <w:color w:val="7030A0"/>
          <w:sz w:val="24"/>
          <w:szCs w:val="24"/>
        </w:rPr>
      </w:pPr>
      <w:r>
        <w:rPr>
          <w:rFonts w:hint="eastAsia"/>
          <w:b/>
          <w:bCs/>
          <w:color w:val="7030A0"/>
          <w:sz w:val="24"/>
          <w:szCs w:val="24"/>
        </w:rPr>
        <w:t>七、授课方式</w:t>
      </w:r>
    </w:p>
    <w:p>
      <w:pPr>
        <w:spacing w:line="360" w:lineRule="auto"/>
        <w:rPr>
          <w:sz w:val="24"/>
          <w:szCs w:val="24"/>
        </w:rPr>
      </w:pPr>
      <w:r>
        <w:rPr>
          <w:rFonts w:hint="eastAsia"/>
          <w:sz w:val="24"/>
          <w:szCs w:val="24"/>
        </w:rPr>
        <w:t>中文教材，以中英文授课。采用学分制学习方式，利用周末集中上课。学员通过规定的课程要求及考试成绩合格取得该门课程的学分。学员享受与香港理工大学本部学生相同待遇，发放香港理工大学学生证，由香港理工大学进行学籍管理，达到毕业要求的学员可赴香港参加毕业典礼（赴港费用自理）。</w:t>
      </w:r>
    </w:p>
    <w:p>
      <w:pPr>
        <w:spacing w:line="360" w:lineRule="auto"/>
        <w:rPr>
          <w:sz w:val="24"/>
          <w:szCs w:val="24"/>
        </w:rPr>
      </w:pPr>
    </w:p>
    <w:p>
      <w:pPr>
        <w:spacing w:line="360" w:lineRule="auto"/>
        <w:rPr>
          <w:b/>
          <w:bCs/>
          <w:color w:val="7030A0"/>
          <w:sz w:val="24"/>
          <w:szCs w:val="24"/>
        </w:rPr>
      </w:pPr>
      <w:r>
        <w:rPr>
          <w:rFonts w:hint="eastAsia"/>
          <w:b/>
          <w:bCs/>
          <w:color w:val="7030A0"/>
          <w:sz w:val="24"/>
          <w:szCs w:val="24"/>
        </w:rPr>
        <w:t>八、颁发学位</w:t>
      </w:r>
      <w:r>
        <w:rPr>
          <w:b/>
          <w:bCs/>
          <w:color w:val="7030A0"/>
          <w:sz w:val="24"/>
          <w:szCs w:val="24"/>
        </w:rPr>
        <w:t xml:space="preserve"> </w:t>
      </w:r>
    </w:p>
    <w:p>
      <w:pPr>
        <w:spacing w:line="360" w:lineRule="auto"/>
        <w:rPr>
          <w:sz w:val="24"/>
          <w:szCs w:val="24"/>
        </w:rPr>
      </w:pPr>
      <w:r>
        <w:rPr>
          <w:rFonts w:hint="eastAsia"/>
          <w:sz w:val="24"/>
          <w:szCs w:val="24"/>
        </w:rPr>
        <w:t xml:space="preserve">根据《中华人民共和国中外合作办学条例》，学员修满规定的课程学分，达到毕业要求后，由香港理工大学颁发工商管理硕士学位证书，证书 获中国教育部留学服务中心学历学位 </w:t>
      </w:r>
      <w:r>
        <w:rPr>
          <w:rFonts w:hint="eastAsia"/>
          <w:b/>
          <w:bCs/>
          <w:sz w:val="24"/>
          <w:szCs w:val="24"/>
        </w:rPr>
        <w:t>双认证</w:t>
      </w:r>
      <w:r>
        <w:rPr>
          <w:rFonts w:hint="eastAsia"/>
          <w:sz w:val="24"/>
          <w:szCs w:val="24"/>
        </w:rPr>
        <w:t>。</w:t>
      </w:r>
    </w:p>
    <w:p>
      <w:pPr>
        <w:spacing w:line="360" w:lineRule="auto"/>
        <w:rPr>
          <w:sz w:val="24"/>
          <w:szCs w:val="24"/>
        </w:rPr>
      </w:pPr>
      <w:r>
        <w:rPr>
          <w:sz w:val="24"/>
          <w:szCs w:val="24"/>
        </w:rPr>
        <w:t xml:space="preserve"> </w:t>
      </w:r>
    </w:p>
    <w:p>
      <w:pPr>
        <w:spacing w:line="360" w:lineRule="auto"/>
        <w:rPr>
          <w:b/>
          <w:bCs/>
          <w:color w:val="7030A0"/>
          <w:sz w:val="24"/>
          <w:szCs w:val="24"/>
        </w:rPr>
      </w:pPr>
      <w:r>
        <w:rPr>
          <w:rFonts w:hint="eastAsia"/>
          <w:b/>
          <w:bCs/>
          <w:color w:val="7030A0"/>
          <w:sz w:val="24"/>
          <w:szCs w:val="24"/>
        </w:rPr>
        <w:t>九、提交资料</w:t>
      </w:r>
    </w:p>
    <w:p>
      <w:pPr>
        <w:spacing w:line="360" w:lineRule="auto"/>
        <w:rPr>
          <w:sz w:val="24"/>
          <w:szCs w:val="24"/>
        </w:rPr>
      </w:pPr>
      <w:r>
        <w:rPr>
          <w:rFonts w:hint="eastAsia"/>
          <w:sz w:val="24"/>
          <w:szCs w:val="24"/>
        </w:rPr>
        <w:t>学历证书原件及复印件、身份证原件及复印件、职称证书的原件及复印件、近期彩色正面免冠</w:t>
      </w:r>
      <w:r>
        <w:rPr>
          <w:sz w:val="24"/>
          <w:szCs w:val="24"/>
        </w:rPr>
        <w:t>2</w:t>
      </w:r>
      <w:r>
        <w:rPr>
          <w:rFonts w:hint="eastAsia"/>
          <w:sz w:val="24"/>
          <w:szCs w:val="24"/>
        </w:rPr>
        <w:t>寸</w:t>
      </w:r>
      <w:r>
        <w:rPr>
          <w:sz w:val="24"/>
          <w:szCs w:val="24"/>
        </w:rPr>
        <w:t>照片2张、本人报名表</w:t>
      </w:r>
    </w:p>
    <w:p>
      <w:pPr>
        <w:spacing w:line="360" w:lineRule="auto"/>
        <w:rPr>
          <w:b/>
          <w:bCs/>
          <w:color w:val="7030A0"/>
          <w:sz w:val="24"/>
          <w:szCs w:val="24"/>
        </w:rPr>
      </w:pPr>
    </w:p>
    <w:p>
      <w:pPr>
        <w:spacing w:line="360" w:lineRule="auto"/>
        <w:rPr>
          <w:b/>
          <w:bCs/>
          <w:color w:val="7030A0"/>
          <w:sz w:val="24"/>
          <w:szCs w:val="24"/>
        </w:rPr>
      </w:pPr>
      <w:r>
        <w:rPr>
          <w:rFonts w:hint="eastAsia"/>
          <w:b/>
          <w:bCs/>
          <w:color w:val="7030A0"/>
          <w:sz w:val="24"/>
          <w:szCs w:val="24"/>
        </w:rPr>
        <w:t>十、学校简介</w:t>
      </w:r>
    </w:p>
    <w:p>
      <w:pPr>
        <w:spacing w:line="360" w:lineRule="auto"/>
        <w:rPr>
          <w:b/>
          <w:bCs/>
          <w:sz w:val="24"/>
          <w:szCs w:val="24"/>
        </w:rPr>
      </w:pPr>
      <w:r>
        <w:rPr>
          <w:rFonts w:hint="eastAsia"/>
          <w:b/>
          <w:bCs/>
          <w:sz w:val="24"/>
          <w:szCs w:val="24"/>
        </w:rPr>
        <w:t>西安交通大学</w:t>
      </w:r>
      <w:r>
        <w:rPr>
          <w:rFonts w:hint="eastAsia"/>
          <w:sz w:val="24"/>
          <w:szCs w:val="24"/>
        </w:rPr>
        <w:t>是国家教育部直属重点大学，为我国最早兴办的高等学府之一。其前身是</w:t>
      </w:r>
      <w:r>
        <w:rPr>
          <w:sz w:val="24"/>
          <w:szCs w:val="24"/>
        </w:rPr>
        <w:t>1896年创建于上海的南洋公学。西安交通大学是“七五”、“八五”首批重点建设项目学校，是首批进入国家“211”和“985”工程建设，被国家确定为以建设世界知名高水平大学为目标的学校。今日的西安交通大学是一所具有理工特色，涵盖理、工、医、经济、管理、文、法、哲、教育、艺术等学科门类的综合性研究型大学。西安交通大学不断适应国内外高等教育改革发展的新形势，逐步搭建起适应国际潮流的高等人才培养基本构架，奠定了建设世界知名高水平大学的坚实基础</w:t>
      </w:r>
      <w:r>
        <w:rPr>
          <w:rFonts w:hint="eastAsia"/>
          <w:sz w:val="24"/>
          <w:szCs w:val="24"/>
        </w:rPr>
        <w:t>。</w:t>
      </w:r>
    </w:p>
    <w:p>
      <w:pPr>
        <w:spacing w:line="360" w:lineRule="auto"/>
        <w:rPr>
          <w:sz w:val="24"/>
          <w:szCs w:val="24"/>
        </w:rPr>
      </w:pPr>
      <w:r>
        <w:rPr>
          <w:rFonts w:hint="eastAsia"/>
          <w:sz w:val="24"/>
          <w:szCs w:val="24"/>
        </w:rPr>
        <w:t>西安交通大学是国务院学位委员会批准的首批试办工商管理硕士</w:t>
      </w:r>
      <w:r>
        <w:rPr>
          <w:sz w:val="24"/>
          <w:szCs w:val="24"/>
        </w:rPr>
        <w:t xml:space="preserve"> (MBA) 学位的院校之一。西安交通大学MBA综合评比名列全国高校前列。在教育部公布的学科排名中，西安交通大学“管理科学与工程”和“工商管理”两个一级学科双双获得第一名。</w:t>
      </w:r>
    </w:p>
    <w:p>
      <w:pPr>
        <w:spacing w:line="360" w:lineRule="auto"/>
        <w:rPr>
          <w:sz w:val="24"/>
          <w:szCs w:val="24"/>
        </w:rPr>
      </w:pPr>
    </w:p>
    <w:p>
      <w:pPr>
        <w:spacing w:line="360" w:lineRule="auto"/>
        <w:rPr>
          <w:sz w:val="24"/>
          <w:szCs w:val="24"/>
        </w:rPr>
      </w:pPr>
      <w:r>
        <w:rPr>
          <w:rFonts w:hint="eastAsia"/>
          <w:b/>
          <w:bCs/>
          <w:color w:val="7030A0"/>
          <w:sz w:val="24"/>
          <w:szCs w:val="24"/>
        </w:rPr>
        <w:t>香港理工大学</w:t>
      </w:r>
      <w:r>
        <w:rPr>
          <w:rFonts w:hint="eastAsia"/>
          <w:sz w:val="24"/>
          <w:szCs w:val="24"/>
        </w:rPr>
        <w:t>（以下简称理大）于</w:t>
      </w:r>
      <w:r>
        <w:rPr>
          <w:sz w:val="24"/>
          <w:szCs w:val="24"/>
        </w:rPr>
        <w:t>1937年创立，是一所拥有骄人历史及卓越成绩的大学。理大前身为香港理工学院，于1994年正名为香港理工大学。理大提供的课程切合工商界和社会人士的需求，多年来已培育了超过三十一万名莘莘学子。毕业生遍布社会各个重要领域，在香港社会乃至世界各地发挥重要作用。</w:t>
      </w:r>
    </w:p>
    <w:p>
      <w:pPr>
        <w:spacing w:line="360" w:lineRule="auto"/>
        <w:rPr>
          <w:sz w:val="24"/>
          <w:szCs w:val="24"/>
        </w:rPr>
      </w:pPr>
    </w:p>
    <w:p>
      <w:pPr>
        <w:spacing w:line="360" w:lineRule="auto"/>
        <w:rPr>
          <w:sz w:val="24"/>
          <w:szCs w:val="24"/>
        </w:rPr>
      </w:pPr>
      <w:r>
        <w:rPr>
          <w:rFonts w:hint="eastAsia"/>
          <w:sz w:val="24"/>
          <w:szCs w:val="24"/>
        </w:rPr>
        <w:t>香港理工大学工商管理学院致力发展为亚太区首屈一指的商学院，学院致力寻求</w:t>
      </w:r>
      <w:r>
        <w:rPr>
          <w:sz w:val="24"/>
          <w:szCs w:val="24"/>
        </w:rPr>
        <w:t xml:space="preserve"> IDEAS(Innovation-driven Education and Scholarship)（创见──以创新及卓见推动教育发展与学术研究），聚焦</w:t>
      </w:r>
      <w:r>
        <w:rPr>
          <w:rFonts w:hint="eastAsia"/>
          <w:sz w:val="24"/>
          <w:szCs w:val="24"/>
        </w:rPr>
        <w:t>于</w:t>
      </w:r>
      <w:r>
        <w:rPr>
          <w:sz w:val="24"/>
          <w:szCs w:val="24"/>
        </w:rPr>
        <w:t xml:space="preserve"> Discovery, Design and Delivery（发现、发挥、发扬三个关键点），通过开办优质课程，并与工商各业及</w:t>
      </w:r>
      <w:r>
        <w:rPr>
          <w:rFonts w:hint="eastAsia"/>
          <w:sz w:val="24"/>
          <w:szCs w:val="24"/>
        </w:rPr>
        <w:t>专业人员合作与联系，实现知识与技术转移。课程强调理论结合实践，深受社会欢迎。理大商学院在科研与教学工作上近年取得丰硕的成果，</w:t>
      </w:r>
      <w:r>
        <w:rPr>
          <w:sz w:val="24"/>
          <w:szCs w:val="24"/>
        </w:rPr>
        <w:t>MBA课程获得英国评审机构AMBA（工商管理硕士课程协会）正式认证，商学院获得EQUIS（欧洲质量改善体系）认证 和AACSB International（The Association to Advance Collegiate Schools of Business国际商学院联合会）认证，乃亚太区少数获得三重认证的商学院之一。国际认证一方面肯定理大商学院科研</w:t>
      </w:r>
      <w:r>
        <w:rPr>
          <w:rFonts w:hint="eastAsia"/>
          <w:sz w:val="24"/>
          <w:szCs w:val="24"/>
        </w:rPr>
        <w:t>和教学工作的成绩，另一方面也确保和促进学院有更大的发展和进步。</w:t>
      </w:r>
    </w:p>
    <w:p>
      <w:pPr>
        <w:spacing w:line="360" w:lineRule="auto"/>
        <w:rPr>
          <w:sz w:val="24"/>
          <w:szCs w:val="24"/>
        </w:rPr>
      </w:pPr>
      <w:r>
        <w:rPr>
          <w:sz w:val="24"/>
          <w:szCs w:val="24"/>
        </w:rPr>
        <w:t>MBA学位课程，是理大商学院其中一个最重要的研究生课程。课程分别在香港本地和中国大陆招生，同样颁发理大的工商管理硕士学位。理大的MBA 课程从2010年开始实行「OneChina MBA」，中国内地和香港采用一致的课程结构，促进两地学员的互动和交流。全新改革的课程增加学分，加入新的学科，以配合全球化经济环境下所需的管理知识和技能。</w:t>
      </w:r>
    </w:p>
    <w:p>
      <w:pPr>
        <w:spacing w:line="360" w:lineRule="auto"/>
        <w:rPr>
          <w:sz w:val="24"/>
          <w:szCs w:val="24"/>
        </w:rPr>
      </w:pPr>
    </w:p>
    <w:p>
      <w:pPr>
        <w:spacing w:line="360" w:lineRule="auto"/>
        <w:rPr>
          <w:sz w:val="24"/>
          <w:szCs w:val="24"/>
        </w:rPr>
      </w:pPr>
    </w:p>
    <w:p>
      <w:pPr>
        <w:spacing w:line="360" w:lineRule="auto"/>
        <w:rPr>
          <w:sz w:val="24"/>
          <w:szCs w:val="24"/>
        </w:rPr>
      </w:pPr>
    </w:p>
    <w:p>
      <w:pPr>
        <w:spacing w:line="360" w:lineRule="auto"/>
        <w:rPr>
          <w:sz w:val="24"/>
          <w:szCs w:val="24"/>
        </w:rPr>
      </w:pPr>
    </w:p>
    <w:p>
      <w:pPr>
        <w:spacing w:line="360" w:lineRule="auto"/>
        <w:rPr>
          <w:sz w:val="24"/>
          <w:szCs w:val="24"/>
        </w:rPr>
      </w:pPr>
    </w:p>
    <w:p>
      <w:pPr>
        <w:spacing w:line="360" w:lineRule="auto"/>
        <w:rPr>
          <w:sz w:val="24"/>
          <w:szCs w:val="24"/>
        </w:rPr>
      </w:pPr>
    </w:p>
    <w:p>
      <w:pPr>
        <w:spacing w:line="360" w:lineRule="auto"/>
        <w:rPr>
          <w:sz w:val="24"/>
          <w:szCs w:val="24"/>
        </w:rPr>
      </w:pPr>
    </w:p>
    <w:p>
      <w:pPr>
        <w:spacing w:line="360" w:lineRule="auto"/>
        <w:rPr>
          <w:sz w:val="24"/>
          <w:szCs w:val="24"/>
        </w:rPr>
      </w:pPr>
    </w:p>
    <w:p>
      <w:pPr>
        <w:spacing w:line="360" w:lineRule="auto"/>
        <w:rPr>
          <w:sz w:val="24"/>
          <w:szCs w:val="24"/>
        </w:rPr>
      </w:pPr>
    </w:p>
    <w:p>
      <w:pPr>
        <w:spacing w:line="360" w:lineRule="auto"/>
        <w:rPr>
          <w:rFonts w:hint="eastAsia"/>
          <w:sz w:val="24"/>
          <w:szCs w:val="24"/>
        </w:rPr>
      </w:pPr>
    </w:p>
    <w:p>
      <w:pPr>
        <w:spacing w:line="360" w:lineRule="auto"/>
        <w:rPr>
          <w:sz w:val="24"/>
          <w:szCs w:val="24"/>
        </w:rPr>
      </w:pPr>
    </w:p>
    <w:p>
      <w:pPr>
        <w:widowControl/>
        <w:spacing w:before="100" w:beforeAutospacing="1" w:after="100" w:afterAutospacing="1" w:line="400" w:lineRule="exact"/>
        <w:jc w:val="center"/>
        <w:rPr>
          <w:rFonts w:hint="eastAsia" w:ascii="宋体" w:hAnsi="宋体" w:cs="宋体"/>
          <w:b/>
          <w:bCs/>
          <w:kern w:val="0"/>
          <w:position w:val="-6"/>
          <w:sz w:val="28"/>
          <w:szCs w:val="28"/>
        </w:rPr>
      </w:pPr>
    </w:p>
    <w:p>
      <w:pPr>
        <w:widowControl/>
        <w:spacing w:before="100" w:beforeAutospacing="1" w:after="100" w:afterAutospacing="1" w:line="400" w:lineRule="exact"/>
        <w:jc w:val="center"/>
        <w:rPr>
          <w:b/>
          <w:bCs/>
          <w:sz w:val="28"/>
          <w:szCs w:val="28"/>
        </w:rPr>
      </w:pPr>
      <w:bookmarkStart w:id="1" w:name="_GoBack"/>
      <w:bookmarkEnd w:id="1"/>
      <w:r>
        <w:rPr>
          <w:rFonts w:hint="eastAsia" w:ascii="宋体" w:hAnsi="宋体" w:cs="宋体"/>
          <w:b/>
          <w:bCs/>
          <w:kern w:val="0"/>
          <w:position w:val="-6"/>
          <w:sz w:val="28"/>
          <w:szCs w:val="28"/>
        </w:rPr>
        <w:t>西交大港理工M</w:t>
      </w:r>
      <w:r>
        <w:rPr>
          <w:rFonts w:ascii="宋体" w:hAnsi="宋体" w:cs="宋体"/>
          <w:b/>
          <w:bCs/>
          <w:kern w:val="0"/>
          <w:position w:val="-6"/>
          <w:sz w:val="28"/>
          <w:szCs w:val="28"/>
        </w:rPr>
        <w:t>BA</w:t>
      </w:r>
      <w:r>
        <w:rPr>
          <w:rFonts w:hint="eastAsia" w:ascii="宋体" w:hAnsi="宋体" w:cs="宋体"/>
          <w:b/>
          <w:bCs/>
          <w:kern w:val="0"/>
          <w:position w:val="-6"/>
          <w:sz w:val="28"/>
          <w:szCs w:val="28"/>
        </w:rPr>
        <w:t>预报名申请表</w:t>
      </w:r>
    </w:p>
    <w:tbl>
      <w:tblPr>
        <w:tblStyle w:val="8"/>
        <w:tblW w:w="829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2"/>
        <w:gridCol w:w="1644"/>
        <w:gridCol w:w="1140"/>
        <w:gridCol w:w="2028"/>
        <w:gridCol w:w="994"/>
        <w:gridCol w:w="15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2" w:hRule="exact"/>
        </w:trPr>
        <w:tc>
          <w:tcPr>
            <w:tcW w:w="982" w:type="dxa"/>
            <w:shd w:val="clear" w:color="auto" w:fill="auto"/>
            <w:vAlign w:val="center"/>
          </w:tcPr>
          <w:p>
            <w:pPr>
              <w:rPr>
                <w:rFonts w:ascii="宋体" w:hAnsi="宋体"/>
                <w:sz w:val="18"/>
                <w:szCs w:val="18"/>
              </w:rPr>
            </w:pPr>
            <w:r>
              <w:rPr>
                <w:rFonts w:ascii="宋体" w:hAnsi="宋体"/>
                <w:sz w:val="18"/>
                <w:szCs w:val="18"/>
              </w:rPr>
              <w:t>姓  名</w:t>
            </w:r>
          </w:p>
        </w:tc>
        <w:tc>
          <w:tcPr>
            <w:tcW w:w="1644" w:type="dxa"/>
            <w:shd w:val="clear" w:color="auto" w:fill="auto"/>
            <w:vAlign w:val="center"/>
          </w:tcPr>
          <w:p>
            <w:pPr>
              <w:rPr>
                <w:rFonts w:ascii="宋体" w:hAnsi="宋体"/>
                <w:sz w:val="18"/>
                <w:szCs w:val="18"/>
              </w:rPr>
            </w:pPr>
          </w:p>
        </w:tc>
        <w:tc>
          <w:tcPr>
            <w:tcW w:w="1140" w:type="dxa"/>
            <w:shd w:val="clear" w:color="auto" w:fill="auto"/>
            <w:vAlign w:val="center"/>
          </w:tcPr>
          <w:p>
            <w:pPr>
              <w:rPr>
                <w:rFonts w:ascii="宋体" w:hAnsi="宋体"/>
                <w:sz w:val="18"/>
                <w:szCs w:val="18"/>
              </w:rPr>
            </w:pPr>
            <w:r>
              <w:rPr>
                <w:rFonts w:hint="eastAsia" w:ascii="宋体" w:hAnsi="宋体"/>
                <w:sz w:val="18"/>
                <w:szCs w:val="18"/>
              </w:rPr>
              <w:t>所在</w:t>
            </w:r>
            <w:r>
              <w:rPr>
                <w:rFonts w:ascii="宋体" w:hAnsi="宋体"/>
                <w:sz w:val="18"/>
                <w:szCs w:val="18"/>
              </w:rPr>
              <w:t>单位</w:t>
            </w:r>
          </w:p>
        </w:tc>
        <w:tc>
          <w:tcPr>
            <w:tcW w:w="3022" w:type="dxa"/>
            <w:gridSpan w:val="2"/>
            <w:shd w:val="clear" w:color="auto" w:fill="auto"/>
            <w:vAlign w:val="center"/>
          </w:tcPr>
          <w:p>
            <w:pPr>
              <w:rPr>
                <w:rFonts w:ascii="宋体" w:hAnsi="宋体"/>
                <w:sz w:val="18"/>
                <w:szCs w:val="18"/>
              </w:rPr>
            </w:pPr>
          </w:p>
        </w:tc>
        <w:tc>
          <w:tcPr>
            <w:tcW w:w="1508" w:type="dxa"/>
            <w:vMerge w:val="restart"/>
            <w:shd w:val="clear" w:color="auto" w:fill="auto"/>
            <w:vAlign w:val="center"/>
          </w:tcPr>
          <w:p>
            <w:pPr>
              <w:rPr>
                <w:rFonts w:ascii="宋体" w:hAnsi="宋体"/>
                <w:sz w:val="18"/>
                <w:szCs w:val="18"/>
              </w:rPr>
            </w:pPr>
            <w:r>
              <w:rPr>
                <w:rFonts w:hint="eastAsia" w:ascii="宋体" w:hAnsi="宋体"/>
                <w:sz w:val="18"/>
                <w:szCs w:val="18"/>
              </w:rPr>
              <w:t>1寸照片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2" w:hRule="exact"/>
        </w:trPr>
        <w:tc>
          <w:tcPr>
            <w:tcW w:w="982" w:type="dxa"/>
            <w:shd w:val="clear" w:color="auto" w:fill="auto"/>
            <w:vAlign w:val="center"/>
          </w:tcPr>
          <w:p>
            <w:pPr>
              <w:rPr>
                <w:rFonts w:ascii="宋体" w:hAnsi="宋体"/>
                <w:sz w:val="18"/>
                <w:szCs w:val="18"/>
              </w:rPr>
            </w:pPr>
            <w:r>
              <w:rPr>
                <w:rFonts w:hint="eastAsia" w:ascii="宋体" w:hAnsi="宋体"/>
                <w:sz w:val="18"/>
                <w:szCs w:val="18"/>
              </w:rPr>
              <w:t>性  别</w:t>
            </w:r>
          </w:p>
        </w:tc>
        <w:tc>
          <w:tcPr>
            <w:tcW w:w="1644" w:type="dxa"/>
            <w:shd w:val="clear" w:color="auto" w:fill="auto"/>
            <w:vAlign w:val="center"/>
          </w:tcPr>
          <w:p>
            <w:pPr>
              <w:rPr>
                <w:rFonts w:ascii="宋体" w:hAnsi="宋体"/>
                <w:sz w:val="18"/>
                <w:szCs w:val="18"/>
              </w:rPr>
            </w:pPr>
          </w:p>
        </w:tc>
        <w:tc>
          <w:tcPr>
            <w:tcW w:w="1140" w:type="dxa"/>
            <w:shd w:val="clear" w:color="auto" w:fill="auto"/>
            <w:vAlign w:val="center"/>
          </w:tcPr>
          <w:p>
            <w:pPr>
              <w:rPr>
                <w:rFonts w:ascii="宋体" w:hAnsi="宋体"/>
                <w:sz w:val="18"/>
                <w:szCs w:val="18"/>
              </w:rPr>
            </w:pPr>
            <w:r>
              <w:rPr>
                <w:rFonts w:ascii="宋体" w:hAnsi="宋体"/>
                <w:sz w:val="18"/>
                <w:szCs w:val="18"/>
              </w:rPr>
              <w:t>职务</w:t>
            </w:r>
            <w:r>
              <w:rPr>
                <w:rFonts w:hint="eastAsia" w:ascii="宋体" w:hAnsi="宋体"/>
                <w:sz w:val="18"/>
                <w:szCs w:val="18"/>
              </w:rPr>
              <w:t>职称</w:t>
            </w:r>
          </w:p>
        </w:tc>
        <w:tc>
          <w:tcPr>
            <w:tcW w:w="3022" w:type="dxa"/>
            <w:gridSpan w:val="2"/>
            <w:shd w:val="clear" w:color="auto" w:fill="auto"/>
            <w:vAlign w:val="center"/>
          </w:tcPr>
          <w:p>
            <w:pPr>
              <w:rPr>
                <w:rFonts w:ascii="宋体" w:hAnsi="宋体"/>
                <w:sz w:val="18"/>
                <w:szCs w:val="18"/>
              </w:rPr>
            </w:pPr>
          </w:p>
        </w:tc>
        <w:tc>
          <w:tcPr>
            <w:tcW w:w="1508" w:type="dxa"/>
            <w:vMerge w:val="continue"/>
            <w:shd w:val="clear" w:color="auto" w:fill="auto"/>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2" w:hRule="exact"/>
        </w:trPr>
        <w:tc>
          <w:tcPr>
            <w:tcW w:w="982" w:type="dxa"/>
            <w:shd w:val="clear" w:color="auto" w:fill="auto"/>
            <w:vAlign w:val="center"/>
          </w:tcPr>
          <w:p>
            <w:pPr>
              <w:rPr>
                <w:rFonts w:ascii="宋体" w:hAnsi="宋体"/>
                <w:sz w:val="18"/>
                <w:szCs w:val="18"/>
              </w:rPr>
            </w:pPr>
            <w:r>
              <w:rPr>
                <w:rFonts w:hint="eastAsia" w:ascii="宋体" w:hAnsi="宋体"/>
                <w:sz w:val="18"/>
                <w:szCs w:val="18"/>
              </w:rPr>
              <w:t xml:space="preserve">年 </w:t>
            </w:r>
            <w:r>
              <w:rPr>
                <w:rFonts w:ascii="宋体" w:hAnsi="宋体"/>
                <w:sz w:val="18"/>
                <w:szCs w:val="18"/>
              </w:rPr>
              <w:t xml:space="preserve"> </w:t>
            </w:r>
            <w:r>
              <w:rPr>
                <w:rFonts w:hint="eastAsia" w:ascii="宋体" w:hAnsi="宋体"/>
                <w:sz w:val="18"/>
                <w:szCs w:val="18"/>
              </w:rPr>
              <w:t>龄</w:t>
            </w:r>
          </w:p>
        </w:tc>
        <w:tc>
          <w:tcPr>
            <w:tcW w:w="1644" w:type="dxa"/>
            <w:shd w:val="clear" w:color="auto" w:fill="auto"/>
            <w:vAlign w:val="center"/>
          </w:tcPr>
          <w:p>
            <w:pPr>
              <w:rPr>
                <w:rFonts w:ascii="宋体" w:hAnsi="宋体"/>
                <w:sz w:val="18"/>
                <w:szCs w:val="18"/>
              </w:rPr>
            </w:pPr>
          </w:p>
        </w:tc>
        <w:tc>
          <w:tcPr>
            <w:tcW w:w="1140" w:type="dxa"/>
            <w:shd w:val="clear" w:color="auto" w:fill="auto"/>
            <w:vAlign w:val="center"/>
          </w:tcPr>
          <w:p>
            <w:pPr>
              <w:rPr>
                <w:rFonts w:ascii="宋体" w:hAnsi="宋体"/>
                <w:sz w:val="18"/>
                <w:szCs w:val="18"/>
              </w:rPr>
            </w:pPr>
            <w:r>
              <w:rPr>
                <w:rFonts w:hint="eastAsia" w:ascii="宋体" w:hAnsi="宋体"/>
                <w:sz w:val="18"/>
                <w:szCs w:val="18"/>
              </w:rPr>
              <w:t>单位性质</w:t>
            </w:r>
          </w:p>
        </w:tc>
        <w:tc>
          <w:tcPr>
            <w:tcW w:w="3022" w:type="dxa"/>
            <w:gridSpan w:val="2"/>
            <w:shd w:val="clear" w:color="auto" w:fill="auto"/>
            <w:vAlign w:val="center"/>
          </w:tcPr>
          <w:p>
            <w:pPr>
              <w:rPr>
                <w:rFonts w:ascii="宋体" w:hAnsi="宋体"/>
                <w:sz w:val="18"/>
                <w:szCs w:val="18"/>
              </w:rPr>
            </w:pPr>
          </w:p>
        </w:tc>
        <w:tc>
          <w:tcPr>
            <w:tcW w:w="1508" w:type="dxa"/>
            <w:vMerge w:val="continue"/>
            <w:shd w:val="clear" w:color="auto" w:fill="auto"/>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2" w:hRule="exact"/>
        </w:trPr>
        <w:tc>
          <w:tcPr>
            <w:tcW w:w="982" w:type="dxa"/>
            <w:shd w:val="clear" w:color="auto" w:fill="auto"/>
            <w:vAlign w:val="center"/>
          </w:tcPr>
          <w:p>
            <w:pPr>
              <w:rPr>
                <w:rFonts w:ascii="宋体" w:hAnsi="宋体"/>
                <w:sz w:val="18"/>
                <w:szCs w:val="18"/>
              </w:rPr>
            </w:pPr>
            <w:r>
              <w:rPr>
                <w:rFonts w:hint="eastAsia" w:ascii="宋体" w:hAnsi="宋体"/>
                <w:sz w:val="18"/>
                <w:szCs w:val="18"/>
              </w:rPr>
              <w:t xml:space="preserve">籍 </w:t>
            </w:r>
            <w:r>
              <w:rPr>
                <w:rFonts w:ascii="宋体" w:hAnsi="宋体"/>
                <w:sz w:val="18"/>
                <w:szCs w:val="18"/>
              </w:rPr>
              <w:t xml:space="preserve"> </w:t>
            </w:r>
            <w:r>
              <w:rPr>
                <w:rFonts w:hint="eastAsia" w:ascii="宋体" w:hAnsi="宋体"/>
                <w:sz w:val="18"/>
                <w:szCs w:val="18"/>
              </w:rPr>
              <w:t>贯</w:t>
            </w:r>
          </w:p>
        </w:tc>
        <w:tc>
          <w:tcPr>
            <w:tcW w:w="1644" w:type="dxa"/>
            <w:shd w:val="clear" w:color="auto" w:fill="auto"/>
            <w:vAlign w:val="center"/>
          </w:tcPr>
          <w:p>
            <w:pPr>
              <w:rPr>
                <w:rFonts w:ascii="宋体" w:hAnsi="宋体"/>
                <w:sz w:val="18"/>
                <w:szCs w:val="18"/>
              </w:rPr>
            </w:pPr>
          </w:p>
        </w:tc>
        <w:tc>
          <w:tcPr>
            <w:tcW w:w="1140" w:type="dxa"/>
            <w:shd w:val="clear" w:color="auto" w:fill="auto"/>
            <w:vAlign w:val="center"/>
          </w:tcPr>
          <w:p>
            <w:pPr>
              <w:rPr>
                <w:rFonts w:ascii="宋体" w:hAnsi="宋体"/>
                <w:sz w:val="18"/>
                <w:szCs w:val="18"/>
              </w:rPr>
            </w:pPr>
            <w:r>
              <w:rPr>
                <w:rFonts w:hint="eastAsia" w:ascii="宋体" w:hAnsi="宋体"/>
                <w:sz w:val="18"/>
                <w:szCs w:val="18"/>
              </w:rPr>
              <w:t>单位规模</w:t>
            </w:r>
          </w:p>
        </w:tc>
        <w:tc>
          <w:tcPr>
            <w:tcW w:w="3022" w:type="dxa"/>
            <w:gridSpan w:val="2"/>
            <w:shd w:val="clear" w:color="auto" w:fill="auto"/>
            <w:vAlign w:val="center"/>
          </w:tcPr>
          <w:p>
            <w:pPr>
              <w:rPr>
                <w:rFonts w:ascii="宋体" w:hAnsi="宋体"/>
                <w:sz w:val="18"/>
                <w:szCs w:val="18"/>
              </w:rPr>
            </w:pPr>
          </w:p>
        </w:tc>
        <w:tc>
          <w:tcPr>
            <w:tcW w:w="1508" w:type="dxa"/>
            <w:vMerge w:val="continue"/>
            <w:shd w:val="clear" w:color="auto" w:fill="auto"/>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2" w:hRule="exact"/>
        </w:trPr>
        <w:tc>
          <w:tcPr>
            <w:tcW w:w="982" w:type="dxa"/>
            <w:shd w:val="clear" w:color="auto" w:fill="auto"/>
            <w:vAlign w:val="center"/>
          </w:tcPr>
          <w:p>
            <w:pPr>
              <w:rPr>
                <w:rFonts w:ascii="宋体" w:hAnsi="宋体"/>
                <w:sz w:val="18"/>
                <w:szCs w:val="18"/>
              </w:rPr>
            </w:pPr>
            <w:r>
              <w:rPr>
                <w:rFonts w:hint="eastAsia" w:ascii="宋体" w:hAnsi="宋体"/>
                <w:sz w:val="18"/>
                <w:szCs w:val="18"/>
              </w:rPr>
              <w:t xml:space="preserve">电 </w:t>
            </w:r>
            <w:r>
              <w:rPr>
                <w:rFonts w:ascii="宋体" w:hAnsi="宋体"/>
                <w:sz w:val="18"/>
                <w:szCs w:val="18"/>
              </w:rPr>
              <w:t xml:space="preserve"> </w:t>
            </w:r>
            <w:r>
              <w:rPr>
                <w:rFonts w:hint="eastAsia" w:ascii="宋体" w:hAnsi="宋体"/>
                <w:sz w:val="18"/>
                <w:szCs w:val="18"/>
              </w:rPr>
              <w:t>话</w:t>
            </w:r>
          </w:p>
        </w:tc>
        <w:tc>
          <w:tcPr>
            <w:tcW w:w="1644" w:type="dxa"/>
            <w:shd w:val="clear" w:color="auto" w:fill="auto"/>
            <w:vAlign w:val="center"/>
          </w:tcPr>
          <w:p>
            <w:pPr>
              <w:rPr>
                <w:rFonts w:ascii="宋体" w:hAnsi="宋体"/>
                <w:sz w:val="18"/>
                <w:szCs w:val="18"/>
              </w:rPr>
            </w:pPr>
          </w:p>
        </w:tc>
        <w:tc>
          <w:tcPr>
            <w:tcW w:w="1140" w:type="dxa"/>
            <w:shd w:val="clear" w:color="auto" w:fill="auto"/>
            <w:vAlign w:val="center"/>
          </w:tcPr>
          <w:p>
            <w:pPr>
              <w:rPr>
                <w:rFonts w:ascii="宋体" w:hAnsi="宋体"/>
                <w:sz w:val="18"/>
                <w:szCs w:val="18"/>
              </w:rPr>
            </w:pPr>
            <w:r>
              <w:rPr>
                <w:rFonts w:hint="eastAsia" w:ascii="宋体" w:hAnsi="宋体"/>
                <w:sz w:val="18"/>
                <w:szCs w:val="18"/>
              </w:rPr>
              <w:t>移动电话</w:t>
            </w:r>
          </w:p>
        </w:tc>
        <w:tc>
          <w:tcPr>
            <w:tcW w:w="3022" w:type="dxa"/>
            <w:gridSpan w:val="2"/>
            <w:shd w:val="clear" w:color="auto" w:fill="auto"/>
            <w:vAlign w:val="center"/>
          </w:tcPr>
          <w:p>
            <w:pPr>
              <w:rPr>
                <w:rFonts w:ascii="宋体" w:hAnsi="宋体"/>
                <w:sz w:val="18"/>
                <w:szCs w:val="18"/>
              </w:rPr>
            </w:pPr>
          </w:p>
        </w:tc>
        <w:tc>
          <w:tcPr>
            <w:tcW w:w="1508" w:type="dxa"/>
            <w:vMerge w:val="continue"/>
            <w:shd w:val="clear" w:color="auto" w:fill="auto"/>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2" w:hRule="exact"/>
        </w:trPr>
        <w:tc>
          <w:tcPr>
            <w:tcW w:w="982" w:type="dxa"/>
            <w:shd w:val="clear" w:color="auto" w:fill="auto"/>
            <w:vAlign w:val="center"/>
          </w:tcPr>
          <w:p>
            <w:pPr>
              <w:rPr>
                <w:rFonts w:ascii="宋体" w:hAnsi="宋体"/>
                <w:sz w:val="18"/>
                <w:szCs w:val="18"/>
              </w:rPr>
            </w:pPr>
            <w:r>
              <w:rPr>
                <w:rFonts w:hint="eastAsia" w:ascii="宋体" w:hAnsi="宋体"/>
                <w:sz w:val="18"/>
                <w:szCs w:val="18"/>
              </w:rPr>
              <w:t xml:space="preserve">电 </w:t>
            </w:r>
            <w:r>
              <w:rPr>
                <w:rFonts w:ascii="宋体" w:hAnsi="宋体"/>
                <w:sz w:val="18"/>
                <w:szCs w:val="18"/>
              </w:rPr>
              <w:t xml:space="preserve"> </w:t>
            </w:r>
            <w:r>
              <w:rPr>
                <w:rFonts w:hint="eastAsia" w:ascii="宋体" w:hAnsi="宋体"/>
                <w:sz w:val="18"/>
                <w:szCs w:val="18"/>
              </w:rPr>
              <w:t>邮</w:t>
            </w:r>
          </w:p>
        </w:tc>
        <w:tc>
          <w:tcPr>
            <w:tcW w:w="1644" w:type="dxa"/>
            <w:shd w:val="clear" w:color="auto" w:fill="auto"/>
            <w:vAlign w:val="center"/>
          </w:tcPr>
          <w:p>
            <w:pPr>
              <w:rPr>
                <w:rFonts w:ascii="宋体" w:hAnsi="宋体"/>
                <w:sz w:val="18"/>
                <w:szCs w:val="18"/>
              </w:rPr>
            </w:pPr>
          </w:p>
        </w:tc>
        <w:tc>
          <w:tcPr>
            <w:tcW w:w="1140" w:type="dxa"/>
            <w:shd w:val="clear" w:color="auto" w:fill="auto"/>
            <w:vAlign w:val="center"/>
          </w:tcPr>
          <w:p>
            <w:pPr>
              <w:rPr>
                <w:rFonts w:ascii="宋体" w:hAnsi="宋体"/>
                <w:sz w:val="18"/>
                <w:szCs w:val="18"/>
              </w:rPr>
            </w:pPr>
            <w:r>
              <w:rPr>
                <w:rFonts w:hint="eastAsia" w:ascii="宋体" w:hAnsi="宋体"/>
                <w:sz w:val="18"/>
                <w:szCs w:val="18"/>
              </w:rPr>
              <w:t>身份证号</w:t>
            </w:r>
          </w:p>
        </w:tc>
        <w:tc>
          <w:tcPr>
            <w:tcW w:w="4530" w:type="dxa"/>
            <w:gridSpan w:val="3"/>
            <w:shd w:val="clear" w:color="auto" w:fill="auto"/>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2" w:hRule="exact"/>
        </w:trPr>
        <w:tc>
          <w:tcPr>
            <w:tcW w:w="982" w:type="dxa"/>
            <w:shd w:val="clear" w:color="auto" w:fill="auto"/>
            <w:vAlign w:val="center"/>
          </w:tcPr>
          <w:p>
            <w:pPr>
              <w:rPr>
                <w:rFonts w:ascii="宋体" w:hAnsi="宋体"/>
                <w:sz w:val="18"/>
                <w:szCs w:val="18"/>
              </w:rPr>
            </w:pPr>
            <w:r>
              <w:rPr>
                <w:rFonts w:hint="eastAsia" w:ascii="宋体" w:hAnsi="宋体"/>
                <w:sz w:val="18"/>
                <w:szCs w:val="18"/>
              </w:rPr>
              <w:t>毕业院校</w:t>
            </w:r>
          </w:p>
        </w:tc>
        <w:tc>
          <w:tcPr>
            <w:tcW w:w="1644" w:type="dxa"/>
            <w:shd w:val="clear" w:color="auto" w:fill="auto"/>
            <w:vAlign w:val="center"/>
          </w:tcPr>
          <w:p>
            <w:pPr>
              <w:rPr>
                <w:rFonts w:ascii="宋体" w:hAnsi="宋体"/>
                <w:sz w:val="18"/>
                <w:szCs w:val="18"/>
              </w:rPr>
            </w:pPr>
          </w:p>
        </w:tc>
        <w:tc>
          <w:tcPr>
            <w:tcW w:w="1140" w:type="dxa"/>
            <w:shd w:val="clear" w:color="auto" w:fill="auto"/>
            <w:vAlign w:val="center"/>
          </w:tcPr>
          <w:p>
            <w:pPr>
              <w:rPr>
                <w:rFonts w:ascii="宋体" w:hAnsi="宋体"/>
                <w:sz w:val="18"/>
                <w:szCs w:val="18"/>
              </w:rPr>
            </w:pPr>
            <w:r>
              <w:rPr>
                <w:rFonts w:hint="eastAsia" w:ascii="宋体" w:hAnsi="宋体"/>
                <w:sz w:val="18"/>
                <w:szCs w:val="18"/>
              </w:rPr>
              <w:t>所获学历</w:t>
            </w:r>
          </w:p>
        </w:tc>
        <w:tc>
          <w:tcPr>
            <w:tcW w:w="2028" w:type="dxa"/>
            <w:shd w:val="clear" w:color="auto" w:fill="auto"/>
            <w:vAlign w:val="center"/>
          </w:tcPr>
          <w:p>
            <w:pPr>
              <w:rPr>
                <w:rFonts w:ascii="宋体" w:hAnsi="宋体"/>
                <w:sz w:val="18"/>
                <w:szCs w:val="18"/>
              </w:rPr>
            </w:pPr>
          </w:p>
        </w:tc>
        <w:tc>
          <w:tcPr>
            <w:tcW w:w="994" w:type="dxa"/>
            <w:shd w:val="clear" w:color="auto" w:fill="auto"/>
            <w:vAlign w:val="center"/>
          </w:tcPr>
          <w:p>
            <w:pPr>
              <w:rPr>
                <w:rFonts w:ascii="宋体" w:hAnsi="宋体"/>
                <w:sz w:val="18"/>
                <w:szCs w:val="18"/>
              </w:rPr>
            </w:pPr>
            <w:r>
              <w:rPr>
                <w:rFonts w:hint="eastAsia" w:ascii="宋体" w:hAnsi="宋体"/>
                <w:sz w:val="18"/>
                <w:szCs w:val="18"/>
              </w:rPr>
              <w:t>有无学位</w:t>
            </w:r>
          </w:p>
        </w:tc>
        <w:tc>
          <w:tcPr>
            <w:tcW w:w="1508" w:type="dxa"/>
            <w:shd w:val="clear" w:color="auto" w:fill="auto"/>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2" w:hRule="exact"/>
        </w:trPr>
        <w:tc>
          <w:tcPr>
            <w:tcW w:w="982" w:type="dxa"/>
            <w:shd w:val="clear" w:color="auto" w:fill="auto"/>
            <w:vAlign w:val="center"/>
          </w:tcPr>
          <w:p>
            <w:pPr>
              <w:rPr>
                <w:rFonts w:ascii="宋体" w:hAnsi="宋体"/>
                <w:sz w:val="18"/>
                <w:szCs w:val="18"/>
              </w:rPr>
            </w:pPr>
            <w:r>
              <w:rPr>
                <w:rFonts w:ascii="宋体" w:hAnsi="宋体"/>
                <w:sz w:val="18"/>
                <w:szCs w:val="18"/>
              </w:rPr>
              <w:t>通讯地址</w:t>
            </w:r>
          </w:p>
        </w:tc>
        <w:tc>
          <w:tcPr>
            <w:tcW w:w="7314" w:type="dxa"/>
            <w:gridSpan w:val="5"/>
            <w:shd w:val="clear" w:color="auto" w:fill="auto"/>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2" w:hRule="exact"/>
        </w:trPr>
        <w:tc>
          <w:tcPr>
            <w:tcW w:w="982" w:type="dxa"/>
            <w:vMerge w:val="restart"/>
            <w:shd w:val="clear" w:color="auto" w:fill="auto"/>
            <w:vAlign w:val="center"/>
          </w:tcPr>
          <w:p>
            <w:pPr>
              <w:rPr>
                <w:rFonts w:ascii="宋体" w:hAnsi="宋体"/>
                <w:sz w:val="18"/>
                <w:szCs w:val="18"/>
              </w:rPr>
            </w:pPr>
            <w:r>
              <w:rPr>
                <w:rFonts w:ascii="宋体" w:hAnsi="宋体"/>
                <w:sz w:val="18"/>
                <w:szCs w:val="18"/>
              </w:rPr>
              <w:t>工作</w:t>
            </w:r>
            <w:r>
              <w:rPr>
                <w:rFonts w:hint="eastAsia" w:ascii="宋体" w:hAnsi="宋体"/>
                <w:sz w:val="18"/>
                <w:szCs w:val="18"/>
              </w:rPr>
              <w:t>履历</w:t>
            </w:r>
          </w:p>
        </w:tc>
        <w:tc>
          <w:tcPr>
            <w:tcW w:w="1644" w:type="dxa"/>
            <w:shd w:val="clear" w:color="auto" w:fill="auto"/>
            <w:vAlign w:val="center"/>
          </w:tcPr>
          <w:p>
            <w:pPr>
              <w:rPr>
                <w:rFonts w:ascii="宋体" w:hAnsi="宋体"/>
                <w:sz w:val="18"/>
                <w:szCs w:val="18"/>
              </w:rPr>
            </w:pPr>
            <w:r>
              <w:rPr>
                <w:rFonts w:hint="eastAsia" w:ascii="宋体" w:hAnsi="宋体"/>
                <w:sz w:val="18"/>
                <w:szCs w:val="18"/>
              </w:rPr>
              <w:t>起止</w:t>
            </w:r>
            <w:r>
              <w:rPr>
                <w:rFonts w:ascii="宋体" w:hAnsi="宋体"/>
                <w:sz w:val="18"/>
                <w:szCs w:val="18"/>
              </w:rPr>
              <w:t>时间</w:t>
            </w:r>
          </w:p>
        </w:tc>
        <w:tc>
          <w:tcPr>
            <w:tcW w:w="3168" w:type="dxa"/>
            <w:gridSpan w:val="2"/>
            <w:shd w:val="clear" w:color="auto" w:fill="auto"/>
            <w:vAlign w:val="center"/>
          </w:tcPr>
          <w:p>
            <w:pPr>
              <w:rPr>
                <w:rFonts w:ascii="宋体" w:hAnsi="宋体"/>
                <w:sz w:val="18"/>
                <w:szCs w:val="18"/>
              </w:rPr>
            </w:pPr>
            <w:r>
              <w:rPr>
                <w:rFonts w:ascii="宋体" w:hAnsi="宋体"/>
                <w:sz w:val="18"/>
                <w:szCs w:val="18"/>
              </w:rPr>
              <w:t>工作单位</w:t>
            </w:r>
          </w:p>
        </w:tc>
        <w:tc>
          <w:tcPr>
            <w:tcW w:w="2502" w:type="dxa"/>
            <w:gridSpan w:val="2"/>
            <w:shd w:val="clear" w:color="auto" w:fill="auto"/>
            <w:vAlign w:val="center"/>
          </w:tcPr>
          <w:p>
            <w:pPr>
              <w:rPr>
                <w:rFonts w:ascii="宋体" w:hAnsi="宋体"/>
                <w:sz w:val="18"/>
                <w:szCs w:val="18"/>
              </w:rPr>
            </w:pPr>
            <w:r>
              <w:rPr>
                <w:rFonts w:ascii="宋体" w:hAnsi="宋体"/>
                <w:sz w:val="18"/>
                <w:szCs w:val="18"/>
              </w:rPr>
              <w:t>任职</w:t>
            </w:r>
            <w:r>
              <w:rPr>
                <w:rFonts w:hint="eastAsia" w:ascii="宋体" w:hAnsi="宋体"/>
                <w:sz w:val="18"/>
                <w:szCs w:val="18"/>
              </w:rPr>
              <w:t>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2" w:hRule="exact"/>
        </w:trPr>
        <w:tc>
          <w:tcPr>
            <w:tcW w:w="982" w:type="dxa"/>
            <w:vMerge w:val="continue"/>
            <w:shd w:val="clear" w:color="auto" w:fill="auto"/>
            <w:vAlign w:val="center"/>
          </w:tcPr>
          <w:p>
            <w:pPr>
              <w:jc w:val="center"/>
              <w:rPr>
                <w:rFonts w:ascii="宋体" w:hAnsi="宋体"/>
                <w:sz w:val="18"/>
                <w:szCs w:val="18"/>
              </w:rPr>
            </w:pPr>
          </w:p>
        </w:tc>
        <w:tc>
          <w:tcPr>
            <w:tcW w:w="1644" w:type="dxa"/>
            <w:shd w:val="clear" w:color="auto" w:fill="auto"/>
            <w:vAlign w:val="center"/>
          </w:tcPr>
          <w:p>
            <w:pPr>
              <w:rPr>
                <w:rFonts w:ascii="宋体" w:hAnsi="宋体"/>
                <w:sz w:val="18"/>
                <w:szCs w:val="18"/>
              </w:rPr>
            </w:pPr>
          </w:p>
        </w:tc>
        <w:tc>
          <w:tcPr>
            <w:tcW w:w="3168" w:type="dxa"/>
            <w:gridSpan w:val="2"/>
            <w:shd w:val="clear" w:color="auto" w:fill="auto"/>
            <w:vAlign w:val="center"/>
          </w:tcPr>
          <w:p>
            <w:pPr>
              <w:rPr>
                <w:rFonts w:ascii="宋体" w:hAnsi="宋体"/>
                <w:sz w:val="18"/>
                <w:szCs w:val="18"/>
              </w:rPr>
            </w:pPr>
          </w:p>
        </w:tc>
        <w:tc>
          <w:tcPr>
            <w:tcW w:w="2502" w:type="dxa"/>
            <w:gridSpan w:val="2"/>
            <w:shd w:val="clear" w:color="auto" w:fill="auto"/>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2" w:hRule="exact"/>
        </w:trPr>
        <w:tc>
          <w:tcPr>
            <w:tcW w:w="982" w:type="dxa"/>
            <w:vMerge w:val="continue"/>
            <w:shd w:val="clear" w:color="auto" w:fill="auto"/>
            <w:vAlign w:val="center"/>
          </w:tcPr>
          <w:p>
            <w:pPr>
              <w:jc w:val="center"/>
              <w:rPr>
                <w:rFonts w:ascii="宋体" w:hAnsi="宋体"/>
                <w:sz w:val="18"/>
                <w:szCs w:val="18"/>
              </w:rPr>
            </w:pPr>
          </w:p>
        </w:tc>
        <w:tc>
          <w:tcPr>
            <w:tcW w:w="1644" w:type="dxa"/>
            <w:shd w:val="clear" w:color="auto" w:fill="auto"/>
            <w:vAlign w:val="center"/>
          </w:tcPr>
          <w:p>
            <w:pPr>
              <w:rPr>
                <w:rFonts w:ascii="宋体" w:hAnsi="宋体"/>
                <w:sz w:val="18"/>
                <w:szCs w:val="18"/>
              </w:rPr>
            </w:pPr>
          </w:p>
        </w:tc>
        <w:tc>
          <w:tcPr>
            <w:tcW w:w="3168" w:type="dxa"/>
            <w:gridSpan w:val="2"/>
            <w:shd w:val="clear" w:color="auto" w:fill="auto"/>
            <w:vAlign w:val="center"/>
          </w:tcPr>
          <w:p>
            <w:pPr>
              <w:rPr>
                <w:rFonts w:ascii="宋体" w:hAnsi="宋体"/>
                <w:sz w:val="18"/>
                <w:szCs w:val="18"/>
              </w:rPr>
            </w:pPr>
          </w:p>
        </w:tc>
        <w:tc>
          <w:tcPr>
            <w:tcW w:w="2502" w:type="dxa"/>
            <w:gridSpan w:val="2"/>
            <w:shd w:val="clear" w:color="auto" w:fill="auto"/>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2" w:hRule="exact"/>
        </w:trPr>
        <w:tc>
          <w:tcPr>
            <w:tcW w:w="982" w:type="dxa"/>
            <w:vMerge w:val="continue"/>
            <w:shd w:val="clear" w:color="auto" w:fill="auto"/>
            <w:vAlign w:val="center"/>
          </w:tcPr>
          <w:p>
            <w:pPr>
              <w:jc w:val="center"/>
              <w:rPr>
                <w:rFonts w:ascii="宋体" w:hAnsi="宋体"/>
                <w:sz w:val="18"/>
                <w:szCs w:val="18"/>
              </w:rPr>
            </w:pPr>
          </w:p>
        </w:tc>
        <w:tc>
          <w:tcPr>
            <w:tcW w:w="1644" w:type="dxa"/>
            <w:shd w:val="clear" w:color="auto" w:fill="auto"/>
            <w:vAlign w:val="center"/>
          </w:tcPr>
          <w:p>
            <w:pPr>
              <w:rPr>
                <w:rFonts w:ascii="宋体" w:hAnsi="宋体"/>
                <w:sz w:val="18"/>
                <w:szCs w:val="18"/>
              </w:rPr>
            </w:pPr>
          </w:p>
        </w:tc>
        <w:tc>
          <w:tcPr>
            <w:tcW w:w="3168" w:type="dxa"/>
            <w:gridSpan w:val="2"/>
            <w:shd w:val="clear" w:color="auto" w:fill="auto"/>
            <w:vAlign w:val="center"/>
          </w:tcPr>
          <w:p>
            <w:pPr>
              <w:rPr>
                <w:rFonts w:ascii="宋体" w:hAnsi="宋体"/>
                <w:sz w:val="18"/>
                <w:szCs w:val="18"/>
              </w:rPr>
            </w:pPr>
          </w:p>
        </w:tc>
        <w:tc>
          <w:tcPr>
            <w:tcW w:w="2502" w:type="dxa"/>
            <w:gridSpan w:val="2"/>
            <w:shd w:val="clear" w:color="auto" w:fill="auto"/>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2" w:hRule="exact"/>
        </w:trPr>
        <w:tc>
          <w:tcPr>
            <w:tcW w:w="982" w:type="dxa"/>
            <w:vMerge w:val="continue"/>
            <w:shd w:val="clear" w:color="auto" w:fill="auto"/>
            <w:vAlign w:val="center"/>
          </w:tcPr>
          <w:p>
            <w:pPr>
              <w:jc w:val="center"/>
              <w:rPr>
                <w:rFonts w:ascii="宋体" w:hAnsi="宋体"/>
                <w:sz w:val="18"/>
                <w:szCs w:val="18"/>
              </w:rPr>
            </w:pPr>
          </w:p>
        </w:tc>
        <w:tc>
          <w:tcPr>
            <w:tcW w:w="1644" w:type="dxa"/>
            <w:shd w:val="clear" w:color="auto" w:fill="auto"/>
            <w:vAlign w:val="center"/>
          </w:tcPr>
          <w:p>
            <w:pPr>
              <w:rPr>
                <w:rFonts w:ascii="宋体" w:hAnsi="宋体"/>
                <w:sz w:val="18"/>
                <w:szCs w:val="18"/>
              </w:rPr>
            </w:pPr>
          </w:p>
        </w:tc>
        <w:tc>
          <w:tcPr>
            <w:tcW w:w="3168" w:type="dxa"/>
            <w:gridSpan w:val="2"/>
            <w:shd w:val="clear" w:color="auto" w:fill="auto"/>
            <w:vAlign w:val="center"/>
          </w:tcPr>
          <w:p>
            <w:pPr>
              <w:rPr>
                <w:rFonts w:ascii="宋体" w:hAnsi="宋体"/>
                <w:sz w:val="18"/>
                <w:szCs w:val="18"/>
              </w:rPr>
            </w:pPr>
          </w:p>
        </w:tc>
        <w:tc>
          <w:tcPr>
            <w:tcW w:w="2502" w:type="dxa"/>
            <w:gridSpan w:val="2"/>
            <w:shd w:val="clear" w:color="auto" w:fill="auto"/>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2" w:hRule="exact"/>
        </w:trPr>
        <w:tc>
          <w:tcPr>
            <w:tcW w:w="982" w:type="dxa"/>
            <w:vMerge w:val="restart"/>
            <w:shd w:val="clear" w:color="auto" w:fill="auto"/>
            <w:vAlign w:val="center"/>
          </w:tcPr>
          <w:p>
            <w:pPr>
              <w:rPr>
                <w:rFonts w:ascii="宋体" w:hAnsi="宋体"/>
                <w:sz w:val="18"/>
                <w:szCs w:val="18"/>
              </w:rPr>
            </w:pPr>
            <w:r>
              <w:rPr>
                <w:rFonts w:hint="eastAsia" w:ascii="宋体" w:hAnsi="宋体"/>
                <w:sz w:val="18"/>
                <w:szCs w:val="18"/>
              </w:rPr>
              <w:t>教育经历</w:t>
            </w:r>
          </w:p>
        </w:tc>
        <w:tc>
          <w:tcPr>
            <w:tcW w:w="1644" w:type="dxa"/>
            <w:shd w:val="clear" w:color="auto" w:fill="auto"/>
            <w:vAlign w:val="center"/>
          </w:tcPr>
          <w:p>
            <w:pPr>
              <w:rPr>
                <w:rFonts w:ascii="宋体" w:hAnsi="宋体"/>
                <w:sz w:val="18"/>
                <w:szCs w:val="18"/>
              </w:rPr>
            </w:pPr>
            <w:r>
              <w:rPr>
                <w:rFonts w:hint="eastAsia" w:ascii="宋体" w:hAnsi="宋体"/>
                <w:sz w:val="18"/>
                <w:szCs w:val="18"/>
              </w:rPr>
              <w:t>起止</w:t>
            </w:r>
            <w:r>
              <w:rPr>
                <w:rFonts w:ascii="宋体" w:hAnsi="宋体"/>
                <w:sz w:val="18"/>
                <w:szCs w:val="18"/>
              </w:rPr>
              <w:t>时间</w:t>
            </w:r>
          </w:p>
        </w:tc>
        <w:tc>
          <w:tcPr>
            <w:tcW w:w="3168" w:type="dxa"/>
            <w:gridSpan w:val="2"/>
            <w:shd w:val="clear" w:color="auto" w:fill="auto"/>
            <w:vAlign w:val="center"/>
          </w:tcPr>
          <w:p>
            <w:pPr>
              <w:rPr>
                <w:rFonts w:ascii="宋体" w:hAnsi="宋体"/>
                <w:sz w:val="18"/>
                <w:szCs w:val="18"/>
              </w:rPr>
            </w:pPr>
            <w:r>
              <w:rPr>
                <w:rFonts w:hint="eastAsia" w:ascii="宋体" w:hAnsi="宋体"/>
                <w:sz w:val="18"/>
                <w:szCs w:val="18"/>
              </w:rPr>
              <w:t>所在学校</w:t>
            </w:r>
          </w:p>
        </w:tc>
        <w:tc>
          <w:tcPr>
            <w:tcW w:w="2502" w:type="dxa"/>
            <w:gridSpan w:val="2"/>
            <w:shd w:val="clear" w:color="auto" w:fill="auto"/>
            <w:vAlign w:val="center"/>
          </w:tcPr>
          <w:p>
            <w:pPr>
              <w:rPr>
                <w:rFonts w:ascii="宋体" w:hAnsi="宋体"/>
                <w:sz w:val="18"/>
                <w:szCs w:val="18"/>
              </w:rPr>
            </w:pPr>
            <w:r>
              <w:rPr>
                <w:rFonts w:hint="eastAsia" w:ascii="宋体" w:hAnsi="宋体"/>
                <w:sz w:val="18"/>
                <w:szCs w:val="18"/>
              </w:rPr>
              <w:t>学习成果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2" w:hRule="exact"/>
        </w:trPr>
        <w:tc>
          <w:tcPr>
            <w:tcW w:w="982" w:type="dxa"/>
            <w:vMerge w:val="continue"/>
            <w:shd w:val="clear" w:color="auto" w:fill="auto"/>
            <w:vAlign w:val="center"/>
          </w:tcPr>
          <w:p>
            <w:pPr>
              <w:jc w:val="center"/>
              <w:rPr>
                <w:rFonts w:ascii="宋体" w:hAnsi="宋体"/>
                <w:sz w:val="18"/>
                <w:szCs w:val="18"/>
              </w:rPr>
            </w:pPr>
          </w:p>
        </w:tc>
        <w:tc>
          <w:tcPr>
            <w:tcW w:w="1644" w:type="dxa"/>
            <w:shd w:val="clear" w:color="auto" w:fill="auto"/>
            <w:vAlign w:val="center"/>
          </w:tcPr>
          <w:p>
            <w:pPr>
              <w:rPr>
                <w:rFonts w:ascii="宋体" w:hAnsi="宋体"/>
                <w:sz w:val="18"/>
                <w:szCs w:val="18"/>
              </w:rPr>
            </w:pPr>
          </w:p>
        </w:tc>
        <w:tc>
          <w:tcPr>
            <w:tcW w:w="3168" w:type="dxa"/>
            <w:gridSpan w:val="2"/>
            <w:shd w:val="clear" w:color="auto" w:fill="auto"/>
            <w:vAlign w:val="center"/>
          </w:tcPr>
          <w:p>
            <w:pPr>
              <w:rPr>
                <w:rFonts w:ascii="宋体" w:hAnsi="宋体"/>
                <w:sz w:val="18"/>
                <w:szCs w:val="18"/>
              </w:rPr>
            </w:pPr>
          </w:p>
        </w:tc>
        <w:tc>
          <w:tcPr>
            <w:tcW w:w="2502" w:type="dxa"/>
            <w:gridSpan w:val="2"/>
            <w:shd w:val="clear" w:color="auto" w:fill="auto"/>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2" w:hRule="exact"/>
        </w:trPr>
        <w:tc>
          <w:tcPr>
            <w:tcW w:w="982" w:type="dxa"/>
            <w:vMerge w:val="continue"/>
            <w:shd w:val="clear" w:color="auto" w:fill="auto"/>
            <w:vAlign w:val="center"/>
          </w:tcPr>
          <w:p>
            <w:pPr>
              <w:jc w:val="center"/>
              <w:rPr>
                <w:rFonts w:ascii="宋体" w:hAnsi="宋体"/>
                <w:sz w:val="18"/>
                <w:szCs w:val="18"/>
              </w:rPr>
            </w:pPr>
          </w:p>
        </w:tc>
        <w:tc>
          <w:tcPr>
            <w:tcW w:w="1644" w:type="dxa"/>
            <w:shd w:val="clear" w:color="auto" w:fill="auto"/>
            <w:vAlign w:val="center"/>
          </w:tcPr>
          <w:p>
            <w:pPr>
              <w:rPr>
                <w:rFonts w:ascii="宋体" w:hAnsi="宋体"/>
                <w:sz w:val="18"/>
                <w:szCs w:val="18"/>
              </w:rPr>
            </w:pPr>
          </w:p>
        </w:tc>
        <w:tc>
          <w:tcPr>
            <w:tcW w:w="3168" w:type="dxa"/>
            <w:gridSpan w:val="2"/>
            <w:shd w:val="clear" w:color="auto" w:fill="auto"/>
            <w:vAlign w:val="center"/>
          </w:tcPr>
          <w:p>
            <w:pPr>
              <w:rPr>
                <w:rFonts w:ascii="宋体" w:hAnsi="宋体"/>
                <w:sz w:val="18"/>
                <w:szCs w:val="18"/>
              </w:rPr>
            </w:pPr>
          </w:p>
        </w:tc>
        <w:tc>
          <w:tcPr>
            <w:tcW w:w="2502" w:type="dxa"/>
            <w:gridSpan w:val="2"/>
            <w:shd w:val="clear" w:color="auto" w:fill="auto"/>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5" w:hRule="atLeast"/>
        </w:trPr>
        <w:tc>
          <w:tcPr>
            <w:tcW w:w="982" w:type="dxa"/>
            <w:vMerge w:val="continue"/>
            <w:shd w:val="clear" w:color="auto" w:fill="auto"/>
            <w:vAlign w:val="center"/>
          </w:tcPr>
          <w:p>
            <w:pPr>
              <w:jc w:val="center"/>
              <w:rPr>
                <w:rFonts w:ascii="宋体" w:hAnsi="宋体"/>
                <w:sz w:val="18"/>
                <w:szCs w:val="18"/>
              </w:rPr>
            </w:pPr>
          </w:p>
        </w:tc>
        <w:tc>
          <w:tcPr>
            <w:tcW w:w="1644" w:type="dxa"/>
            <w:shd w:val="clear" w:color="auto" w:fill="auto"/>
            <w:vAlign w:val="center"/>
          </w:tcPr>
          <w:p>
            <w:pPr>
              <w:rPr>
                <w:rFonts w:ascii="宋体" w:hAnsi="宋体"/>
                <w:sz w:val="18"/>
                <w:szCs w:val="18"/>
              </w:rPr>
            </w:pPr>
          </w:p>
        </w:tc>
        <w:tc>
          <w:tcPr>
            <w:tcW w:w="3168" w:type="dxa"/>
            <w:gridSpan w:val="2"/>
            <w:shd w:val="clear" w:color="auto" w:fill="auto"/>
            <w:vAlign w:val="center"/>
          </w:tcPr>
          <w:p>
            <w:pPr>
              <w:rPr>
                <w:rFonts w:ascii="宋体" w:hAnsi="宋体"/>
                <w:sz w:val="18"/>
                <w:szCs w:val="18"/>
              </w:rPr>
            </w:pPr>
          </w:p>
        </w:tc>
        <w:tc>
          <w:tcPr>
            <w:tcW w:w="2502" w:type="dxa"/>
            <w:gridSpan w:val="2"/>
            <w:shd w:val="clear" w:color="auto" w:fill="auto"/>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134" w:hRule="atLeast"/>
        </w:trPr>
        <w:tc>
          <w:tcPr>
            <w:tcW w:w="982" w:type="dxa"/>
            <w:shd w:val="clear" w:color="auto" w:fill="auto"/>
            <w:vAlign w:val="center"/>
          </w:tcPr>
          <w:p>
            <w:pPr>
              <w:jc w:val="center"/>
              <w:rPr>
                <w:rFonts w:ascii="宋体" w:hAnsi="宋体"/>
                <w:sz w:val="18"/>
                <w:szCs w:val="18"/>
              </w:rPr>
            </w:pPr>
            <w:r>
              <w:rPr>
                <w:rFonts w:hint="eastAsia" w:ascii="宋体" w:hAnsi="宋体"/>
                <w:sz w:val="18"/>
                <w:szCs w:val="18"/>
              </w:rPr>
              <w:t>其他职务</w:t>
            </w:r>
          </w:p>
          <w:p>
            <w:pPr>
              <w:jc w:val="center"/>
              <w:rPr>
                <w:rFonts w:ascii="宋体" w:hAnsi="宋体"/>
                <w:sz w:val="18"/>
                <w:szCs w:val="18"/>
              </w:rPr>
            </w:pPr>
            <w:r>
              <w:rPr>
                <w:rFonts w:hint="eastAsia" w:ascii="宋体" w:hAnsi="宋体"/>
                <w:sz w:val="18"/>
                <w:szCs w:val="18"/>
              </w:rPr>
              <w:t>荣誉说明</w:t>
            </w:r>
          </w:p>
        </w:tc>
        <w:tc>
          <w:tcPr>
            <w:tcW w:w="7314" w:type="dxa"/>
            <w:gridSpan w:val="5"/>
            <w:shd w:val="clear" w:color="auto" w:fill="auto"/>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01" w:hRule="atLeast"/>
        </w:trPr>
        <w:tc>
          <w:tcPr>
            <w:tcW w:w="8296" w:type="dxa"/>
            <w:gridSpan w:val="6"/>
            <w:shd w:val="clear" w:color="auto" w:fill="auto"/>
            <w:vAlign w:val="center"/>
          </w:tcPr>
          <w:p>
            <w:pPr>
              <w:rPr>
                <w:rFonts w:ascii="宋体" w:hAnsi="宋体"/>
                <w:sz w:val="18"/>
                <w:szCs w:val="18"/>
              </w:rPr>
            </w:pPr>
            <w:r>
              <w:rPr>
                <w:rFonts w:hint="eastAsia" w:ascii="宋体" w:hAnsi="宋体"/>
                <w:sz w:val="18"/>
                <w:szCs w:val="18"/>
              </w:rPr>
              <w:t>本人声明：</w:t>
            </w:r>
          </w:p>
          <w:p>
            <w:pPr>
              <w:rPr>
                <w:rFonts w:ascii="宋体" w:hAnsi="宋体"/>
                <w:sz w:val="18"/>
                <w:szCs w:val="18"/>
              </w:rPr>
            </w:pPr>
            <w:r>
              <w:rPr>
                <w:rFonts w:hint="eastAsia" w:ascii="宋体" w:hAnsi="宋体"/>
                <w:sz w:val="18"/>
                <w:szCs w:val="18"/>
              </w:rPr>
              <w:t xml:space="preserve">       以上信息完全属实，本人同意学校对上述信息进行核实，如有不实，愿接受学校对本人入学资格的处理决定。</w:t>
            </w:r>
          </w:p>
          <w:p>
            <w:pPr>
              <w:rPr>
                <w:rFonts w:ascii="宋体" w:hAnsi="宋体"/>
                <w:sz w:val="18"/>
                <w:szCs w:val="18"/>
              </w:rPr>
            </w:pPr>
            <w:r>
              <w:rPr>
                <w:rFonts w:hint="eastAsia" w:ascii="宋体" w:hAnsi="宋体"/>
                <w:sz w:val="18"/>
                <w:szCs w:val="18"/>
              </w:rPr>
              <w:t>申请人签名：</w:t>
            </w:r>
          </w:p>
          <w:p>
            <w:pPr>
              <w:rPr>
                <w:rFonts w:ascii="宋体" w:hAnsi="宋体"/>
                <w:sz w:val="18"/>
                <w:szCs w:val="18"/>
              </w:rPr>
            </w:pPr>
            <w:r>
              <w:rPr>
                <w:rFonts w:hint="eastAsia" w:ascii="宋体" w:hAnsi="宋体"/>
                <w:sz w:val="18"/>
                <w:szCs w:val="18"/>
              </w:rPr>
              <w:t xml:space="preserve">                                            </w:t>
            </w:r>
            <w:r>
              <w:rPr>
                <w:rFonts w:ascii="宋体" w:hAnsi="宋体"/>
                <w:sz w:val="18"/>
                <w:szCs w:val="18"/>
              </w:rPr>
              <w:t xml:space="preserve">            </w:t>
            </w:r>
            <w:r>
              <w:rPr>
                <w:rFonts w:hint="eastAsia" w:ascii="宋体" w:hAnsi="宋体"/>
                <w:sz w:val="18"/>
                <w:szCs w:val="18"/>
              </w:rPr>
              <w:t xml:space="preserve">   年   月   日</w:t>
            </w:r>
          </w:p>
        </w:tc>
      </w:tr>
    </w:tbl>
    <w:p>
      <w:pPr>
        <w:rPr>
          <w:rFonts w:ascii="宋体" w:hAnsi="宋体"/>
          <w:szCs w:val="21"/>
        </w:rPr>
      </w:pPr>
      <w:r>
        <w:rPr>
          <w:rFonts w:hint="eastAsia" w:ascii="宋体" w:hAnsi="宋体"/>
          <w:b/>
          <w:color w:val="000000"/>
          <w:sz w:val="18"/>
          <w:szCs w:val="18"/>
        </w:rPr>
        <w:t>此表为预报名申请表，为便于学校更加快速了解您，您可以附以下全部或部分材料①个人简历一份②毕业证书、学位证书、身份证或护照原件及复印件③单位简介及任职证明④两位专家的推荐信⑤</w:t>
      </w:r>
      <w:r>
        <w:rPr>
          <w:rFonts w:ascii="宋体" w:hAnsi="宋体"/>
          <w:b/>
          <w:color w:val="000000"/>
          <w:sz w:val="18"/>
          <w:szCs w:val="18"/>
        </w:rPr>
        <w:t>一篇自命题论文</w:t>
      </w:r>
      <w:r>
        <w:rPr>
          <w:rFonts w:hint="eastAsia" w:ascii="宋体" w:hAnsi="宋体"/>
          <w:b/>
          <w:color w:val="000000"/>
          <w:sz w:val="18"/>
          <w:szCs w:val="18"/>
        </w:rPr>
        <w:t>或申请自述⑥外</w:t>
      </w:r>
      <w:r>
        <w:rPr>
          <w:rFonts w:ascii="宋体" w:hAnsi="宋体"/>
          <w:b/>
          <w:color w:val="000000"/>
          <w:sz w:val="18"/>
          <w:szCs w:val="18"/>
        </w:rPr>
        <w:t>语</w:t>
      </w:r>
      <w:r>
        <w:rPr>
          <w:rFonts w:hint="eastAsia" w:ascii="宋体" w:hAnsi="宋体"/>
          <w:b/>
          <w:color w:val="000000"/>
          <w:sz w:val="18"/>
          <w:szCs w:val="18"/>
        </w:rPr>
        <w:t>水平等级证书、发表论文及获奖证书复印件⑦近期个人免冠1寸彩色照片6张。资料初审通过后我们会为您提供正式申请表以便于后期注册学籍使用</w:t>
      </w:r>
      <w:r>
        <w:rPr>
          <w:rFonts w:hint="eastAsia" w:ascii="宋体" w:hAnsi="宋体"/>
          <w:szCs w:val="21"/>
        </w:rPr>
        <w:t>。</w:t>
      </w:r>
    </w:p>
    <w:p>
      <w:pPr>
        <w:spacing w:line="360" w:lineRule="auto"/>
        <w:rPr>
          <w:sz w:val="24"/>
          <w:szCs w:val="24"/>
        </w:rPr>
      </w:pP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等线">
    <w:altName w:val="微软雅黑"/>
    <w:panose1 w:val="00000000000000000000"/>
    <w:charset w:val="86"/>
    <w:family w:val="auto"/>
    <w:pitch w:val="default"/>
    <w:sig w:usb0="00000000" w:usb1="00000000" w:usb2="00000000" w:usb3="00000000" w:csb0="00000000" w:csb1="00000000"/>
  </w:font>
  <w:font w:name="等线">
    <w:altName w:val="微软雅黑"/>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80F3C52" w:usb2="00000016" w:usb3="00000000" w:csb0="0004001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both"/>
    </w:pPr>
    <w:r>
      <w:rPr>
        <w:rFonts w:hint="eastAsia"/>
      </w:rPr>
      <w:drawing>
        <wp:anchor distT="0" distB="0" distL="114300" distR="114300" simplePos="0" relativeHeight="251658240" behindDoc="1" locked="0" layoutInCell="1" allowOverlap="1">
          <wp:simplePos x="0" y="0"/>
          <wp:positionH relativeFrom="margin">
            <wp:posOffset>3116580</wp:posOffset>
          </wp:positionH>
          <wp:positionV relativeFrom="paragraph">
            <wp:posOffset>76835</wp:posOffset>
          </wp:positionV>
          <wp:extent cx="2223770" cy="542925"/>
          <wp:effectExtent l="0" t="0" r="0" b="0"/>
          <wp:wrapNone/>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2223954" cy="542925"/>
                  </a:xfrm>
                  <a:prstGeom prst="rect">
                    <a:avLst/>
                  </a:prstGeom>
                </pic:spPr>
              </pic:pic>
            </a:graphicData>
          </a:graphic>
        </wp:anchor>
      </w:drawing>
    </w:r>
    <w:r>
      <w:drawing>
        <wp:anchor distT="0" distB="0" distL="114300" distR="114300" simplePos="0" relativeHeight="251659264" behindDoc="1" locked="0" layoutInCell="1" allowOverlap="1">
          <wp:simplePos x="0" y="0"/>
          <wp:positionH relativeFrom="margin">
            <wp:posOffset>-137160</wp:posOffset>
          </wp:positionH>
          <wp:positionV relativeFrom="paragraph">
            <wp:posOffset>22860</wp:posOffset>
          </wp:positionV>
          <wp:extent cx="1932305" cy="596265"/>
          <wp:effectExtent l="0" t="0" r="0" b="0"/>
          <wp:wrapNone/>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a:off x="0" y="0"/>
                    <a:ext cx="1932180" cy="596265"/>
                  </a:xfrm>
                  <a:prstGeom prst="rect">
                    <a:avLst/>
                  </a:prstGeom>
                </pic:spPr>
              </pic:pic>
            </a:graphicData>
          </a:graphic>
        </wp:anchor>
      </w:drawing>
    </w:r>
  </w:p>
  <w:p>
    <w:pPr>
      <w:pStyle w:val="6"/>
      <w:tabs>
        <w:tab w:val="left" w:pos="1044"/>
        <w:tab w:val="clear" w:pos="4153"/>
        <w:tab w:val="clear" w:pos="8306"/>
      </w:tabs>
      <w:jc w:val="both"/>
    </w:pPr>
    <w:r>
      <w:tab/>
    </w:r>
  </w:p>
  <w:p>
    <w:pPr>
      <w:pStyle w:val="6"/>
      <w:jc w:val="both"/>
    </w:pPr>
  </w:p>
  <w:p>
    <w:pPr>
      <w:pStyle w:val="6"/>
      <w:jc w:val="both"/>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6346"/>
    <w:rsid w:val="0017101C"/>
    <w:rsid w:val="001E2B8B"/>
    <w:rsid w:val="002B7922"/>
    <w:rsid w:val="00361F9A"/>
    <w:rsid w:val="00365F57"/>
    <w:rsid w:val="00405DBF"/>
    <w:rsid w:val="005B1F79"/>
    <w:rsid w:val="005D6ACA"/>
    <w:rsid w:val="005E6098"/>
    <w:rsid w:val="00784FF5"/>
    <w:rsid w:val="00826346"/>
    <w:rsid w:val="009305A0"/>
    <w:rsid w:val="00A574B0"/>
    <w:rsid w:val="00A77750"/>
    <w:rsid w:val="00AE7D5A"/>
    <w:rsid w:val="00B71866"/>
    <w:rsid w:val="00C81B80"/>
    <w:rsid w:val="00EE3334"/>
    <w:rsid w:val="00EF47F3"/>
    <w:rsid w:val="00F43B50"/>
    <w:rsid w:val="00FC0611"/>
    <w:rsid w:val="2BF44ED9"/>
    <w:rsid w:val="38DF1F85"/>
    <w:rsid w:val="7F3E6B4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nhideWhenUsed="0" w:uiPriority="9" w:semiHidden="0" w:name="heading 4"/>
    <w:lsdException w:qFormat="1" w:unhideWhenUsed="0" w:uiPriority="9"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qFormat="1"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4"/>
    <w:basedOn w:val="1"/>
    <w:next w:val="1"/>
    <w:link w:val="13"/>
    <w:qFormat/>
    <w:uiPriority w:val="9"/>
    <w:pPr>
      <w:widowControl/>
      <w:spacing w:before="100" w:beforeAutospacing="1" w:after="100" w:afterAutospacing="1"/>
      <w:jc w:val="left"/>
      <w:outlineLvl w:val="3"/>
    </w:pPr>
    <w:rPr>
      <w:rFonts w:ascii="宋体" w:hAnsi="宋体" w:eastAsia="宋体" w:cs="宋体"/>
      <w:b/>
      <w:bCs/>
      <w:kern w:val="0"/>
      <w:sz w:val="24"/>
      <w:szCs w:val="24"/>
    </w:rPr>
  </w:style>
  <w:style w:type="paragraph" w:styleId="3">
    <w:name w:val="heading 5"/>
    <w:basedOn w:val="1"/>
    <w:next w:val="1"/>
    <w:link w:val="14"/>
    <w:qFormat/>
    <w:uiPriority w:val="9"/>
    <w:pPr>
      <w:widowControl/>
      <w:spacing w:before="100" w:beforeAutospacing="1" w:after="100" w:afterAutospacing="1"/>
      <w:jc w:val="left"/>
      <w:outlineLvl w:val="4"/>
    </w:pPr>
    <w:rPr>
      <w:rFonts w:ascii="宋体" w:hAnsi="宋体" w:eastAsia="宋体" w:cs="宋体"/>
      <w:b/>
      <w:bCs/>
      <w:kern w:val="0"/>
      <w:sz w:val="20"/>
      <w:szCs w:val="20"/>
    </w:rPr>
  </w:style>
  <w:style w:type="character" w:default="1" w:styleId="9">
    <w:name w:val="Default Paragraph Font"/>
    <w:semiHidden/>
    <w:unhideWhenUsed/>
    <w:uiPriority w:val="1"/>
  </w:style>
  <w:style w:type="table" w:default="1" w:styleId="8">
    <w:name w:val="Normal Table"/>
    <w:semiHidden/>
    <w:unhideWhenUsed/>
    <w:uiPriority w:val="99"/>
    <w:tblPr>
      <w:tblLayout w:type="fixed"/>
      <w:tblCellMar>
        <w:top w:w="0" w:type="dxa"/>
        <w:left w:w="108" w:type="dxa"/>
        <w:bottom w:w="0" w:type="dxa"/>
        <w:right w:w="108" w:type="dxa"/>
      </w:tblCellMar>
    </w:tblPr>
  </w:style>
  <w:style w:type="paragraph" w:styleId="4">
    <w:name w:val="HTML Address"/>
    <w:basedOn w:val="1"/>
    <w:link w:val="17"/>
    <w:semiHidden/>
    <w:unhideWhenUsed/>
    <w:qFormat/>
    <w:uiPriority w:val="99"/>
    <w:pPr>
      <w:widowControl/>
      <w:jc w:val="left"/>
    </w:pPr>
    <w:rPr>
      <w:rFonts w:ascii="宋体" w:hAnsi="宋体" w:eastAsia="宋体" w:cs="宋体"/>
      <w:i/>
      <w:iCs/>
      <w:kern w:val="0"/>
      <w:sz w:val="24"/>
      <w:szCs w:val="24"/>
    </w:rPr>
  </w:style>
  <w:style w:type="paragraph" w:styleId="5">
    <w:name w:val="footer"/>
    <w:basedOn w:val="1"/>
    <w:link w:val="20"/>
    <w:unhideWhenUsed/>
    <w:qFormat/>
    <w:uiPriority w:val="99"/>
    <w:pPr>
      <w:tabs>
        <w:tab w:val="center" w:pos="4153"/>
        <w:tab w:val="right" w:pos="8306"/>
      </w:tabs>
      <w:snapToGrid w:val="0"/>
      <w:jc w:val="left"/>
    </w:pPr>
    <w:rPr>
      <w:sz w:val="18"/>
      <w:szCs w:val="18"/>
    </w:rPr>
  </w:style>
  <w:style w:type="paragraph" w:styleId="6">
    <w:name w:val="header"/>
    <w:basedOn w:val="1"/>
    <w:link w:val="19"/>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semiHidden/>
    <w:unhideWhenUsed/>
    <w:uiPriority w:val="99"/>
    <w:pPr>
      <w:widowControl/>
      <w:spacing w:before="100" w:beforeAutospacing="1" w:after="100" w:afterAutospacing="1"/>
      <w:jc w:val="left"/>
    </w:pPr>
    <w:rPr>
      <w:rFonts w:ascii="宋体" w:hAnsi="宋体" w:eastAsia="宋体" w:cs="宋体"/>
      <w:kern w:val="0"/>
      <w:sz w:val="24"/>
      <w:szCs w:val="24"/>
    </w:rPr>
  </w:style>
  <w:style w:type="character" w:styleId="10">
    <w:name w:val="Strong"/>
    <w:basedOn w:val="9"/>
    <w:qFormat/>
    <w:uiPriority w:val="22"/>
    <w:rPr>
      <w:b/>
      <w:bCs/>
    </w:rPr>
  </w:style>
  <w:style w:type="character" w:styleId="11">
    <w:name w:val="Emphasis"/>
    <w:basedOn w:val="9"/>
    <w:qFormat/>
    <w:uiPriority w:val="20"/>
    <w:rPr>
      <w:i/>
      <w:iCs/>
    </w:rPr>
  </w:style>
  <w:style w:type="character" w:styleId="12">
    <w:name w:val="Hyperlink"/>
    <w:basedOn w:val="9"/>
    <w:unhideWhenUsed/>
    <w:qFormat/>
    <w:uiPriority w:val="99"/>
    <w:rPr>
      <w:color w:val="0000FF"/>
      <w:u w:val="single"/>
    </w:rPr>
  </w:style>
  <w:style w:type="character" w:customStyle="1" w:styleId="13">
    <w:name w:val="标题 4 字符"/>
    <w:basedOn w:val="9"/>
    <w:link w:val="2"/>
    <w:uiPriority w:val="9"/>
    <w:rPr>
      <w:rFonts w:ascii="宋体" w:hAnsi="宋体" w:eastAsia="宋体" w:cs="宋体"/>
      <w:b/>
      <w:bCs/>
      <w:kern w:val="0"/>
      <w:sz w:val="24"/>
      <w:szCs w:val="24"/>
    </w:rPr>
  </w:style>
  <w:style w:type="character" w:customStyle="1" w:styleId="14">
    <w:name w:val="标题 5 字符"/>
    <w:basedOn w:val="9"/>
    <w:link w:val="3"/>
    <w:qFormat/>
    <w:uiPriority w:val="9"/>
    <w:rPr>
      <w:rFonts w:ascii="宋体" w:hAnsi="宋体" w:eastAsia="宋体" w:cs="宋体"/>
      <w:b/>
      <w:bCs/>
      <w:kern w:val="0"/>
      <w:sz w:val="20"/>
      <w:szCs w:val="20"/>
    </w:rPr>
  </w:style>
  <w:style w:type="character" w:customStyle="1" w:styleId="15">
    <w:name w:val="theme-color"/>
    <w:basedOn w:val="9"/>
    <w:qFormat/>
    <w:uiPriority w:val="0"/>
  </w:style>
  <w:style w:type="character" w:customStyle="1" w:styleId="16">
    <w:name w:val="apple-converted-space"/>
    <w:basedOn w:val="9"/>
    <w:qFormat/>
    <w:uiPriority w:val="0"/>
  </w:style>
  <w:style w:type="character" w:customStyle="1" w:styleId="17">
    <w:name w:val="HTML 地址 字符"/>
    <w:basedOn w:val="9"/>
    <w:link w:val="4"/>
    <w:semiHidden/>
    <w:qFormat/>
    <w:uiPriority w:val="99"/>
    <w:rPr>
      <w:rFonts w:ascii="宋体" w:hAnsi="宋体" w:eastAsia="宋体" w:cs="宋体"/>
      <w:i/>
      <w:iCs/>
      <w:kern w:val="0"/>
      <w:sz w:val="24"/>
      <w:szCs w:val="24"/>
    </w:rPr>
  </w:style>
  <w:style w:type="character" w:customStyle="1" w:styleId="18">
    <w:name w:val="Unresolved Mention"/>
    <w:basedOn w:val="9"/>
    <w:semiHidden/>
    <w:unhideWhenUsed/>
    <w:qFormat/>
    <w:uiPriority w:val="99"/>
    <w:rPr>
      <w:color w:val="605E5C"/>
      <w:shd w:val="clear" w:color="auto" w:fill="E1DFDD"/>
    </w:rPr>
  </w:style>
  <w:style w:type="character" w:customStyle="1" w:styleId="19">
    <w:name w:val="页眉 字符"/>
    <w:basedOn w:val="9"/>
    <w:link w:val="6"/>
    <w:qFormat/>
    <w:uiPriority w:val="99"/>
    <w:rPr>
      <w:sz w:val="18"/>
      <w:szCs w:val="18"/>
    </w:rPr>
  </w:style>
  <w:style w:type="character" w:customStyle="1" w:styleId="20">
    <w:name w:val="页脚 字符"/>
    <w:basedOn w:val="9"/>
    <w:link w:val="5"/>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Pages>
  <Words>891</Words>
  <Characters>5079</Characters>
  <Lines>42</Lines>
  <Paragraphs>11</Paragraphs>
  <TotalTime>312</TotalTime>
  <ScaleCrop>false</ScaleCrop>
  <LinksUpToDate>false</LinksUpToDate>
  <CharactersWithSpaces>5959</CharactersWithSpaces>
  <Application>WPS Office_11.1.0.8888_F1E327BC-269C-435d-A152-05C5408002CA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2019-07-02T01:52:00Z</dcterms:created>
  <dc:creator>EMBA</dc:creator>
  <cp:lastModifiedBy>郭朋云</cp:lastModifiedBy>
  <dcterms:modified xsi:type="dcterms:W3CDTF">2019-07-12T07:39:36Z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2052-11.1.0.8888</vt:lpwstr>
  </property>
</Properties>
</file>