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1285" w:firstLineChars="400"/>
        <w:rPr>
          <w:rFonts w:hint="eastAsia" w:ascii="宋体" w:hAnsi="宋体"/>
          <w:b/>
          <w:bCs/>
          <w:color w:val="7030A0"/>
          <w:kern w:val="0"/>
          <w:sz w:val="32"/>
          <w:szCs w:val="32"/>
        </w:rPr>
      </w:pPr>
      <w:r>
        <w:rPr>
          <w:rFonts w:hint="eastAsia" w:ascii="宋体" w:hAnsi="宋体"/>
          <w:b/>
          <w:bCs/>
          <w:color w:val="7030A0"/>
          <w:kern w:val="0"/>
          <w:sz w:val="32"/>
          <w:szCs w:val="32"/>
        </w:rPr>
        <w:t>微软Dynamics 365 财务和运营高级研修班</w:t>
      </w:r>
    </w:p>
    <w:p>
      <w:pPr>
        <w:ind w:firstLine="1285" w:firstLineChars="400"/>
        <w:rPr>
          <w:rFonts w:hint="eastAsia" w:ascii="宋体" w:hAnsi="宋体"/>
          <w:b/>
          <w:bCs/>
          <w:color w:val="7030A0"/>
          <w:kern w:val="0"/>
          <w:sz w:val="32"/>
          <w:szCs w:val="32"/>
        </w:rPr>
      </w:pPr>
      <w:bookmarkStart w:id="0" w:name="_GoBack"/>
      <w:bookmarkEnd w:id="0"/>
    </w:p>
    <w:p>
      <w:pPr>
        <w:ind w:firstLine="643" w:firstLineChars="200"/>
        <w:rPr>
          <w:rFonts w:hint="eastAsia" w:ascii="宋体" w:hAnsi="宋体"/>
          <w:b/>
          <w:bCs/>
          <w:color w:val="7030A0"/>
          <w:kern w:val="0"/>
          <w:sz w:val="32"/>
          <w:szCs w:val="32"/>
        </w:rPr>
      </w:pPr>
      <w:r>
        <w:rPr>
          <w:rFonts w:hint="eastAsia" w:ascii="宋体" w:hAnsi="宋体"/>
          <w:b/>
          <w:bCs/>
          <w:color w:val="7030A0"/>
          <w:kern w:val="0"/>
          <w:sz w:val="32"/>
          <w:szCs w:val="32"/>
        </w:rPr>
        <w:t>培训费用：27000元    地点：北京    学制：6天</w:t>
      </w:r>
    </w:p>
    <w:p>
      <w:pPr>
        <w:rPr>
          <w:rFonts w:hint="eastAsia" w:ascii="微软雅黑" w:hAnsi="微软雅黑" w:eastAsia="微软雅黑"/>
          <w:color w:val="FF0000"/>
          <w:sz w:val="20"/>
          <w:shd w:val="clear" w:color="auto" w:fill="FFFFFF"/>
        </w:rPr>
      </w:pPr>
      <w:r>
        <w:rPr>
          <w:rFonts w:hint="eastAsia" w:ascii="微软雅黑" w:hAnsi="微软雅黑" w:eastAsia="微软雅黑"/>
          <w:color w:val="FF0000"/>
          <w:sz w:val="20"/>
          <w:shd w:val="clear" w:color="auto" w:fill="FFFFFF"/>
        </w:rPr>
        <w:t>常年开班，获取最新开班时间或内训报价，咨询：400-061-6586</w:t>
      </w:r>
    </w:p>
    <w:p>
      <w:pPr>
        <w:rPr>
          <w:rFonts w:hint="eastAsia" w:ascii="宋体" w:hAnsi="宋体"/>
          <w:b/>
          <w:color w:val="7030A0"/>
          <w:sz w:val="18"/>
          <w:szCs w:val="18"/>
        </w:rPr>
      </w:pPr>
      <w:r>
        <w:rPr>
          <w:rFonts w:hint="eastAsia" w:ascii="宋体" w:hAnsi="宋体"/>
          <w:b/>
          <w:color w:val="7030A0"/>
          <w:sz w:val="18"/>
          <w:szCs w:val="18"/>
        </w:rPr>
        <w:t>课程背景</w:t>
      </w:r>
      <w:r>
        <w:rPr>
          <w:rFonts w:ascii="宋体" w:hAnsi="宋体"/>
          <w:b/>
          <w:color w:val="7030A0"/>
          <w:sz w:val="18"/>
          <w:szCs w:val="18"/>
        </w:rPr>
        <w:tab/>
      </w:r>
    </w:p>
    <w:p>
      <w:pPr>
        <w:jc w:val="left"/>
        <w:rPr>
          <w:rFonts w:hint="eastAsia" w:ascii="宋体" w:hAnsi="宋体"/>
          <w:color w:val="000000"/>
          <w:sz w:val="18"/>
          <w:szCs w:val="18"/>
        </w:rPr>
      </w:pPr>
      <w:r>
        <w:rPr>
          <w:rFonts w:hint="eastAsia" w:ascii="宋体" w:hAnsi="宋体"/>
          <w:color w:val="000000"/>
          <w:sz w:val="18"/>
          <w:szCs w:val="18"/>
        </w:rPr>
        <w:t>为了帮助合作伙伴及企业用户深度体验</w:t>
      </w:r>
      <w:r>
        <w:rPr>
          <w:sz w:val="18"/>
          <w:szCs w:val="18"/>
          <w:shd w:val="clear" w:color="auto" w:fill="FFFFFF"/>
        </w:rPr>
        <w:t xml:space="preserve">Microsoft Dynamics </w:t>
      </w:r>
      <w:r>
        <w:rPr>
          <w:rFonts w:hint="eastAsia"/>
          <w:sz w:val="18"/>
          <w:szCs w:val="18"/>
          <w:shd w:val="clear" w:color="auto" w:fill="FFFFFF"/>
        </w:rPr>
        <w:t xml:space="preserve">365 </w:t>
      </w:r>
      <w:r>
        <w:rPr>
          <w:sz w:val="18"/>
          <w:szCs w:val="18"/>
          <w:shd w:val="clear" w:color="auto" w:fill="FFFFFF"/>
        </w:rPr>
        <w:t>for Finance and Operations</w:t>
      </w:r>
      <w:r>
        <w:rPr>
          <w:rFonts w:hint="eastAsia"/>
          <w:sz w:val="18"/>
          <w:szCs w:val="18"/>
          <w:shd w:val="clear" w:color="auto" w:fill="FFFFFF"/>
        </w:rPr>
        <w:t>(财务和运营)</w:t>
      </w:r>
      <w:r>
        <w:rPr>
          <w:rFonts w:hint="eastAsia" w:ascii="宋体" w:hAnsi="宋体"/>
          <w:color w:val="000000"/>
          <w:sz w:val="18"/>
          <w:szCs w:val="18"/>
        </w:rPr>
        <w:t>更高效和更智能功能，微软Dynamics 365发表承诺，通过熟悉、智能及连贯的培训课程来把企业生产力传递给所有的客户及合作伙伴。让学员掌握最大程度地发挥解决方案的价值的相关技能。</w:t>
      </w:r>
    </w:p>
    <w:p>
      <w:pPr>
        <w:jc w:val="left"/>
        <w:rPr>
          <w:rFonts w:hint="eastAsia" w:ascii="宋体" w:hAnsi="宋体"/>
          <w:b/>
          <w:color w:val="7030A0"/>
          <w:sz w:val="18"/>
          <w:szCs w:val="18"/>
        </w:rPr>
      </w:pPr>
      <w:r>
        <w:rPr>
          <w:rFonts w:hint="eastAsia" w:ascii="宋体" w:hAnsi="宋体"/>
          <w:b/>
          <w:color w:val="7030A0"/>
          <w:sz w:val="18"/>
          <w:szCs w:val="18"/>
        </w:rPr>
        <w:t>培训目标</w:t>
      </w:r>
    </w:p>
    <w:p>
      <w:pPr>
        <w:numPr>
          <w:ilvl w:val="0"/>
          <w:numId w:val="1"/>
        </w:numPr>
        <w:jc w:val="left"/>
        <w:rPr>
          <w:rFonts w:hint="eastAsia" w:ascii="宋体" w:hAnsi="宋体"/>
          <w:color w:val="000000"/>
          <w:sz w:val="18"/>
          <w:szCs w:val="18"/>
        </w:rPr>
      </w:pPr>
      <w:r>
        <w:rPr>
          <w:sz w:val="18"/>
          <w:szCs w:val="18"/>
          <w:shd w:val="clear" w:color="auto" w:fill="FFFFFF"/>
        </w:rPr>
        <w:t>领略现代企业成功的经营之道和解决方案销售的精髓</w:t>
      </w:r>
      <w:r>
        <w:rPr>
          <w:rFonts w:hint="eastAsia"/>
          <w:sz w:val="18"/>
          <w:szCs w:val="18"/>
          <w:shd w:val="clear" w:color="auto" w:fill="FFFFFF"/>
        </w:rPr>
        <w:t>；</w:t>
      </w:r>
    </w:p>
    <w:p>
      <w:pPr>
        <w:numPr>
          <w:ilvl w:val="0"/>
          <w:numId w:val="1"/>
        </w:numPr>
        <w:jc w:val="left"/>
        <w:rPr>
          <w:rFonts w:hint="eastAsia" w:ascii="宋体" w:hAnsi="宋体"/>
          <w:color w:val="000000"/>
          <w:sz w:val="18"/>
          <w:szCs w:val="18"/>
        </w:rPr>
      </w:pPr>
      <w:r>
        <w:rPr>
          <w:rFonts w:hint="eastAsia" w:ascii="宋体" w:hAnsi="宋体"/>
          <w:color w:val="000000"/>
          <w:sz w:val="18"/>
          <w:szCs w:val="18"/>
        </w:rPr>
        <w:t>熟练部署和配置</w:t>
      </w:r>
      <w:r>
        <w:rPr>
          <w:sz w:val="18"/>
          <w:szCs w:val="18"/>
          <w:shd w:val="clear" w:color="auto" w:fill="FFFFFF"/>
        </w:rPr>
        <w:t>Microsoft</w:t>
      </w:r>
      <w:r>
        <w:rPr>
          <w:rFonts w:hint="eastAsia"/>
          <w:sz w:val="18"/>
          <w:szCs w:val="18"/>
          <w:shd w:val="clear" w:color="auto" w:fill="FFFFFF"/>
        </w:rPr>
        <w:t xml:space="preserve"> </w:t>
      </w:r>
      <w:r>
        <w:rPr>
          <w:sz w:val="18"/>
          <w:szCs w:val="18"/>
          <w:shd w:val="clear" w:color="auto" w:fill="FFFFFF"/>
        </w:rPr>
        <w:t xml:space="preserve">Dynamics </w:t>
      </w:r>
      <w:r>
        <w:rPr>
          <w:rFonts w:hint="eastAsia"/>
          <w:sz w:val="18"/>
          <w:szCs w:val="18"/>
          <w:shd w:val="clear" w:color="auto" w:fill="FFFFFF"/>
        </w:rPr>
        <w:t xml:space="preserve">365 </w:t>
      </w:r>
      <w:r>
        <w:rPr>
          <w:sz w:val="18"/>
          <w:szCs w:val="18"/>
          <w:shd w:val="clear" w:color="auto" w:fill="FFFFFF"/>
        </w:rPr>
        <w:t>for Finance and Operations</w:t>
      </w:r>
      <w:r>
        <w:rPr>
          <w:rFonts w:hint="eastAsia"/>
          <w:sz w:val="18"/>
          <w:szCs w:val="18"/>
          <w:shd w:val="clear" w:color="auto" w:fill="FFFFFF"/>
        </w:rPr>
        <w:t>(财务和运营)</w:t>
      </w:r>
      <w:r>
        <w:rPr>
          <w:sz w:val="18"/>
          <w:szCs w:val="18"/>
          <w:shd w:val="clear" w:color="auto" w:fill="FFFFFF"/>
        </w:rPr>
        <w:t xml:space="preserve"> </w:t>
      </w:r>
      <w:r>
        <w:rPr>
          <w:rFonts w:hint="eastAsia" w:ascii="宋体" w:hAnsi="宋体"/>
          <w:color w:val="000000"/>
          <w:sz w:val="18"/>
          <w:szCs w:val="18"/>
        </w:rPr>
        <w:t>；</w:t>
      </w:r>
    </w:p>
    <w:p>
      <w:pPr>
        <w:numPr>
          <w:ilvl w:val="0"/>
          <w:numId w:val="1"/>
        </w:numPr>
        <w:jc w:val="left"/>
        <w:rPr>
          <w:rFonts w:hint="eastAsia" w:ascii="宋体" w:hAnsi="宋体"/>
          <w:color w:val="000000"/>
          <w:sz w:val="18"/>
          <w:szCs w:val="18"/>
        </w:rPr>
      </w:pPr>
      <w:r>
        <w:rPr>
          <w:sz w:val="18"/>
          <w:szCs w:val="18"/>
          <w:shd w:val="clear" w:color="auto" w:fill="FFFFFF"/>
        </w:rPr>
        <w:t>帮助合作伙伴及产品用户深入了解 Microsoft Dynamics</w:t>
      </w:r>
      <w:r>
        <w:rPr>
          <w:rFonts w:hint="eastAsia"/>
          <w:sz w:val="18"/>
          <w:szCs w:val="18"/>
          <w:shd w:val="clear" w:color="auto" w:fill="FFFFFF"/>
        </w:rPr>
        <w:t xml:space="preserve"> 365</w:t>
      </w:r>
      <w:r>
        <w:rPr>
          <w:sz w:val="18"/>
          <w:szCs w:val="18"/>
          <w:shd w:val="clear" w:color="auto" w:fill="FFFFFF"/>
        </w:rPr>
        <w:t xml:space="preserve"> for Finance and Operations</w:t>
      </w:r>
      <w:r>
        <w:rPr>
          <w:rFonts w:hint="eastAsia"/>
          <w:sz w:val="18"/>
          <w:szCs w:val="18"/>
          <w:shd w:val="clear" w:color="auto" w:fill="FFFFFF"/>
        </w:rPr>
        <w:t xml:space="preserve"> </w:t>
      </w:r>
      <w:r>
        <w:rPr>
          <w:sz w:val="18"/>
          <w:szCs w:val="18"/>
          <w:shd w:val="clear" w:color="auto" w:fill="FFFFFF"/>
        </w:rPr>
        <w:t xml:space="preserve"> 产品与相关技术的应用和开发；</w:t>
      </w:r>
    </w:p>
    <w:p>
      <w:pPr>
        <w:numPr>
          <w:ilvl w:val="0"/>
          <w:numId w:val="1"/>
        </w:numPr>
        <w:jc w:val="left"/>
        <w:rPr>
          <w:rFonts w:hint="eastAsia" w:ascii="宋体" w:hAnsi="宋体"/>
          <w:color w:val="000000"/>
          <w:sz w:val="18"/>
          <w:szCs w:val="18"/>
        </w:rPr>
      </w:pPr>
      <w:r>
        <w:rPr>
          <w:sz w:val="18"/>
          <w:szCs w:val="18"/>
          <w:shd w:val="clear" w:color="auto" w:fill="FFFFFF"/>
        </w:rPr>
        <w:t>帮助学员更快获得认证。</w:t>
      </w:r>
    </w:p>
    <w:p>
      <w:pPr>
        <w:jc w:val="left"/>
        <w:rPr>
          <w:rFonts w:hint="eastAsia" w:ascii="宋体" w:hAnsi="宋体"/>
          <w:b/>
          <w:color w:val="7030A0"/>
          <w:sz w:val="18"/>
          <w:szCs w:val="18"/>
        </w:rPr>
      </w:pPr>
      <w:r>
        <w:rPr>
          <w:rFonts w:hint="eastAsia" w:ascii="宋体" w:hAnsi="宋体"/>
          <w:b/>
          <w:color w:val="7030A0"/>
          <w:sz w:val="18"/>
          <w:szCs w:val="18"/>
        </w:rPr>
        <w:t>培训对象</w:t>
      </w:r>
    </w:p>
    <w:p>
      <w:pPr>
        <w:jc w:val="left"/>
        <w:rPr>
          <w:rFonts w:hint="eastAsia" w:ascii="宋体" w:hAnsi="宋体"/>
          <w:color w:val="000000"/>
          <w:sz w:val="18"/>
          <w:szCs w:val="18"/>
        </w:rPr>
      </w:pPr>
      <w:r>
        <w:rPr>
          <w:rFonts w:hint="eastAsia" w:ascii="宋体" w:hAnsi="宋体"/>
          <w:color w:val="000000"/>
          <w:sz w:val="18"/>
          <w:szCs w:val="18"/>
        </w:rPr>
        <w:t>1.希望获得微软Dy</w:t>
      </w:r>
      <w:r>
        <w:rPr>
          <w:rFonts w:ascii="宋体" w:hAnsi="宋体"/>
          <w:color w:val="000000"/>
          <w:sz w:val="18"/>
          <w:szCs w:val="18"/>
        </w:rPr>
        <w:t xml:space="preserve">namics 365 </w:t>
      </w:r>
      <w:r>
        <w:rPr>
          <w:sz w:val="18"/>
          <w:szCs w:val="18"/>
          <w:shd w:val="clear" w:color="auto" w:fill="FFFFFF"/>
        </w:rPr>
        <w:t>for Finance and Operations</w:t>
      </w:r>
      <w:r>
        <w:rPr>
          <w:rFonts w:hint="eastAsia"/>
          <w:sz w:val="18"/>
          <w:szCs w:val="18"/>
          <w:shd w:val="clear" w:color="auto" w:fill="FFFFFF"/>
        </w:rPr>
        <w:t>(财务和运营，即ERP)</w:t>
      </w:r>
      <w:r>
        <w:rPr>
          <w:rFonts w:hint="eastAsia" w:ascii="宋体" w:hAnsi="宋体"/>
          <w:color w:val="000000"/>
          <w:sz w:val="18"/>
          <w:szCs w:val="18"/>
        </w:rPr>
        <w:t>知识的合作伙伴；</w:t>
      </w:r>
    </w:p>
    <w:p>
      <w:pPr>
        <w:jc w:val="left"/>
        <w:rPr>
          <w:rFonts w:hint="eastAsia" w:ascii="宋体" w:hAnsi="宋体"/>
          <w:color w:val="000000"/>
          <w:sz w:val="18"/>
          <w:szCs w:val="18"/>
        </w:rPr>
      </w:pPr>
      <w:r>
        <w:rPr>
          <w:rFonts w:hint="eastAsia" w:ascii="宋体" w:hAnsi="宋体"/>
          <w:color w:val="000000"/>
          <w:sz w:val="18"/>
          <w:szCs w:val="18"/>
        </w:rPr>
        <w:t>2.希望未来从事微软ERP相关工作的软件从业人员；</w:t>
      </w:r>
    </w:p>
    <w:p>
      <w:pPr>
        <w:jc w:val="left"/>
        <w:rPr>
          <w:rFonts w:hint="eastAsia" w:ascii="宋体" w:hAnsi="宋体"/>
          <w:color w:val="000000"/>
          <w:sz w:val="18"/>
          <w:szCs w:val="18"/>
        </w:rPr>
      </w:pPr>
      <w:r>
        <w:rPr>
          <w:rFonts w:hint="eastAsia" w:ascii="宋体" w:hAnsi="宋体"/>
          <w:color w:val="000000"/>
          <w:sz w:val="18"/>
          <w:szCs w:val="18"/>
        </w:rPr>
        <w:t>3.即将准备实施微软ERP系统的企业工作人员。</w:t>
      </w:r>
    </w:p>
    <w:p>
      <w:pPr>
        <w:jc w:val="left"/>
        <w:rPr>
          <w:rFonts w:hint="eastAsia" w:ascii="宋体" w:hAnsi="宋体"/>
          <w:b/>
          <w:color w:val="7030A0"/>
          <w:sz w:val="18"/>
          <w:szCs w:val="18"/>
        </w:rPr>
      </w:pPr>
      <w:r>
        <w:rPr>
          <w:rFonts w:hint="eastAsia" w:ascii="宋体" w:hAnsi="宋体"/>
          <w:b/>
          <w:color w:val="7030A0"/>
          <w:sz w:val="18"/>
          <w:szCs w:val="18"/>
        </w:rPr>
        <w:t>培训准备要求</w:t>
      </w:r>
    </w:p>
    <w:p>
      <w:pPr>
        <w:jc w:val="left"/>
        <w:rPr>
          <w:sz w:val="18"/>
          <w:szCs w:val="18"/>
          <w:shd w:val="clear" w:color="auto" w:fill="FFFFFF"/>
        </w:rPr>
      </w:pPr>
      <w:r>
        <w:rPr>
          <w:rFonts w:hint="eastAsia"/>
          <w:sz w:val="18"/>
          <w:szCs w:val="18"/>
          <w:shd w:val="clear" w:color="auto" w:fill="FFFFFF"/>
        </w:rPr>
        <w:t>学员</w:t>
      </w:r>
      <w:r>
        <w:rPr>
          <w:sz w:val="18"/>
          <w:szCs w:val="18"/>
          <w:shd w:val="clear" w:color="auto" w:fill="FFFFFF"/>
        </w:rPr>
        <w:t>要有一定的</w:t>
      </w:r>
      <w:r>
        <w:rPr>
          <w:rFonts w:hint="eastAsia"/>
          <w:sz w:val="18"/>
          <w:szCs w:val="18"/>
          <w:shd w:val="clear" w:color="auto" w:fill="FFFFFF"/>
        </w:rPr>
        <w:t>业务与财务</w:t>
      </w:r>
      <w:r>
        <w:rPr>
          <w:sz w:val="18"/>
          <w:szCs w:val="18"/>
          <w:shd w:val="clear" w:color="auto" w:fill="FFFFFF"/>
        </w:rPr>
        <w:t>知识</w:t>
      </w:r>
      <w:r>
        <w:rPr>
          <w:rFonts w:hint="eastAsia"/>
          <w:sz w:val="18"/>
          <w:szCs w:val="18"/>
          <w:shd w:val="clear" w:color="auto" w:fill="FFFFFF"/>
        </w:rPr>
        <w:t>，微软合作伙伴学员</w:t>
      </w:r>
      <w:r>
        <w:rPr>
          <w:sz w:val="18"/>
          <w:szCs w:val="18"/>
          <w:shd w:val="clear" w:color="auto" w:fill="FFFFFF"/>
        </w:rPr>
        <w:t>需</w:t>
      </w:r>
      <w:r>
        <w:rPr>
          <w:rFonts w:hint="eastAsia"/>
          <w:sz w:val="18"/>
          <w:szCs w:val="18"/>
          <w:shd w:val="clear" w:color="auto" w:fill="FFFFFF"/>
        </w:rPr>
        <w:t>有</w:t>
      </w:r>
      <w:r>
        <w:rPr>
          <w:sz w:val="18"/>
          <w:szCs w:val="18"/>
          <w:shd w:val="clear" w:color="auto" w:fill="FFFFFF"/>
        </w:rPr>
        <w:t>ERP</w:t>
      </w:r>
      <w:r>
        <w:rPr>
          <w:rFonts w:hint="eastAsia"/>
          <w:sz w:val="18"/>
          <w:szCs w:val="18"/>
          <w:shd w:val="clear" w:color="auto" w:fill="FFFFFF"/>
        </w:rPr>
        <w:t>理论</w:t>
      </w:r>
      <w:r>
        <w:rPr>
          <w:sz w:val="18"/>
          <w:szCs w:val="18"/>
          <w:shd w:val="clear" w:color="auto" w:fill="FFFFFF"/>
        </w:rPr>
        <w:t>知识与项目经验。</w:t>
      </w:r>
    </w:p>
    <w:p>
      <w:pPr>
        <w:jc w:val="left"/>
        <w:rPr>
          <w:rFonts w:hint="eastAsia" w:ascii="宋体" w:hAnsi="宋体"/>
          <w:b/>
          <w:color w:val="7030A0"/>
          <w:sz w:val="18"/>
          <w:szCs w:val="18"/>
        </w:rPr>
      </w:pPr>
      <w:r>
        <w:rPr>
          <w:rFonts w:hint="eastAsia" w:ascii="宋体" w:hAnsi="宋体"/>
          <w:b/>
          <w:color w:val="7030A0"/>
          <w:sz w:val="18"/>
          <w:szCs w:val="18"/>
        </w:rPr>
        <w:t>培训讲师：</w:t>
      </w:r>
      <w:r>
        <w:rPr>
          <w:rFonts w:hint="eastAsia" w:ascii="宋体" w:hAnsi="宋体"/>
          <w:color w:val="7030A0"/>
          <w:sz w:val="18"/>
          <w:szCs w:val="18"/>
        </w:rPr>
        <w:t xml:space="preserve">MCT  </w:t>
      </w:r>
    </w:p>
    <w:p>
      <w:pPr>
        <w:jc w:val="left"/>
        <w:rPr>
          <w:rFonts w:hint="eastAsia"/>
          <w:b/>
          <w:bCs/>
          <w:color w:val="7030A0"/>
          <w:sz w:val="18"/>
          <w:szCs w:val="18"/>
          <w:shd w:val="clear" w:color="auto" w:fill="FFFFFF"/>
        </w:rPr>
      </w:pPr>
      <w:r>
        <w:rPr>
          <w:b/>
          <w:bCs/>
          <w:color w:val="7030A0"/>
          <w:sz w:val="18"/>
          <w:szCs w:val="18"/>
          <w:shd w:val="clear" w:color="auto" w:fill="FFFFFF"/>
        </w:rPr>
        <w:t>课程设置</w:t>
      </w:r>
      <w:r>
        <w:rPr>
          <w:rFonts w:hint="eastAsia"/>
          <w:b/>
          <w:bCs/>
          <w:color w:val="7030A0"/>
          <w:sz w:val="18"/>
          <w:szCs w:val="18"/>
          <w:shd w:val="clear" w:color="auto" w:fill="FFFFFF"/>
        </w:rPr>
        <w:t>：</w:t>
      </w:r>
    </w:p>
    <w:p>
      <w:pPr>
        <w:jc w:val="left"/>
        <w:rPr>
          <w:rFonts w:hint="eastAsia"/>
          <w:sz w:val="18"/>
          <w:szCs w:val="18"/>
          <w:shd w:val="clear" w:color="auto" w:fill="FFFFFF"/>
        </w:rPr>
      </w:pPr>
      <w:r>
        <w:rPr>
          <w:sz w:val="18"/>
          <w:szCs w:val="18"/>
          <w:shd w:val="clear" w:color="auto" w:fill="FFFFFF"/>
        </w:rPr>
        <w:t>Microsoft Dynamics</w:t>
      </w:r>
      <w:r>
        <w:rPr>
          <w:rFonts w:hint="eastAsia"/>
          <w:sz w:val="18"/>
          <w:szCs w:val="18"/>
          <w:shd w:val="clear" w:color="auto" w:fill="FFFFFF"/>
        </w:rPr>
        <w:t xml:space="preserve"> 365</w:t>
      </w:r>
      <w:r>
        <w:rPr>
          <w:sz w:val="18"/>
          <w:szCs w:val="18"/>
          <w:shd w:val="clear" w:color="auto" w:fill="FFFFFF"/>
        </w:rPr>
        <w:t xml:space="preserve"> for Finance and Operations标准培训主要针对应用和技术两大部分，您可以选择整套系统的课程，也可以按模块来选择您所需要的课程内容。应用部分授课时间共计10天，</w:t>
      </w:r>
      <w:r>
        <w:rPr>
          <w:rFonts w:hint="eastAsia"/>
          <w:sz w:val="18"/>
          <w:szCs w:val="18"/>
          <w:shd w:val="clear" w:color="auto" w:fill="FFFFFF"/>
        </w:rPr>
        <w:t>系统介绍1天；</w:t>
      </w:r>
      <w:r>
        <w:rPr>
          <w:sz w:val="18"/>
          <w:szCs w:val="18"/>
          <w:shd w:val="clear" w:color="auto" w:fill="FFFFFF"/>
        </w:rPr>
        <w:t>供应链管理</w:t>
      </w:r>
      <w:r>
        <w:rPr>
          <w:rFonts w:hint="eastAsia"/>
          <w:sz w:val="18"/>
          <w:szCs w:val="18"/>
          <w:shd w:val="clear" w:color="auto" w:fill="FFFFFF"/>
        </w:rPr>
        <w:t>I</w:t>
      </w:r>
      <w:r>
        <w:rPr>
          <w:sz w:val="18"/>
          <w:szCs w:val="18"/>
          <w:shd w:val="clear" w:color="auto" w:fill="FFFFFF"/>
        </w:rPr>
        <w:t>（贸易和物流）3天；供应链管理</w:t>
      </w:r>
      <w:r>
        <w:rPr>
          <w:rFonts w:hint="eastAsia"/>
          <w:sz w:val="18"/>
          <w:szCs w:val="18"/>
          <w:shd w:val="clear" w:color="auto" w:fill="FFFFFF"/>
        </w:rPr>
        <w:t>II</w:t>
      </w:r>
      <w:r>
        <w:rPr>
          <w:sz w:val="18"/>
          <w:szCs w:val="18"/>
          <w:shd w:val="clear" w:color="auto" w:fill="FFFFFF"/>
        </w:rPr>
        <w:t>（</w:t>
      </w:r>
      <w:r>
        <w:rPr>
          <w:rFonts w:hint="eastAsia"/>
          <w:sz w:val="18"/>
          <w:szCs w:val="18"/>
          <w:shd w:val="clear" w:color="auto" w:fill="FFFFFF"/>
        </w:rPr>
        <w:t>主</w:t>
      </w:r>
      <w:r>
        <w:rPr>
          <w:sz w:val="18"/>
          <w:szCs w:val="18"/>
          <w:shd w:val="clear" w:color="auto" w:fill="FFFFFF"/>
        </w:rPr>
        <w:t>计划和生产）3天；财务管理3天；</w:t>
      </w:r>
      <w:r>
        <w:rPr>
          <w:rFonts w:hint="eastAsia" w:ascii="宋体" w:hAnsi="宋体" w:cs="宋体"/>
          <w:color w:val="000000"/>
          <w:kern w:val="0"/>
          <w:sz w:val="18"/>
          <w:szCs w:val="18"/>
        </w:rPr>
        <w:t>Dynamics 365 for Finance and Operations开发与扩展</w:t>
      </w:r>
      <w:r>
        <w:rPr>
          <w:sz w:val="18"/>
          <w:szCs w:val="18"/>
          <w:shd w:val="clear" w:color="auto" w:fill="FFFFFF"/>
        </w:rPr>
        <w:t>10天</w:t>
      </w:r>
      <w:r>
        <w:rPr>
          <w:rFonts w:hint="eastAsia"/>
          <w:sz w:val="18"/>
          <w:szCs w:val="18"/>
          <w:shd w:val="clear" w:color="auto" w:fill="FFFFFF"/>
        </w:rPr>
        <w:t>。</w:t>
      </w:r>
    </w:p>
    <w:p>
      <w:pPr>
        <w:jc w:val="left"/>
        <w:rPr>
          <w:rFonts w:hint="eastAsia" w:ascii="宋体" w:hAnsi="宋体" w:cs="宋体"/>
          <w:b/>
          <w:bCs/>
          <w:color w:val="7030A0"/>
          <w:kern w:val="0"/>
          <w:sz w:val="18"/>
          <w:szCs w:val="18"/>
        </w:rPr>
      </w:pPr>
      <w:r>
        <w:rPr>
          <w:rFonts w:hint="eastAsia" w:ascii="宋体" w:hAnsi="宋体" w:cs="宋体"/>
          <w:b/>
          <w:bCs/>
          <w:color w:val="7030A0"/>
          <w:kern w:val="0"/>
          <w:sz w:val="18"/>
          <w:szCs w:val="18"/>
        </w:rPr>
        <w:t>课程大纲：</w:t>
      </w:r>
    </w:p>
    <w:p>
      <w:pPr>
        <w:jc w:val="left"/>
        <w:rPr>
          <w:rFonts w:hint="eastAsia" w:ascii="宋体" w:hAnsi="宋体" w:cs="宋体"/>
          <w:b/>
          <w:bCs/>
          <w:color w:val="000000"/>
          <w:kern w:val="0"/>
          <w:sz w:val="18"/>
          <w:szCs w:val="18"/>
        </w:rPr>
      </w:pPr>
      <w:r>
        <w:rPr>
          <w:rFonts w:hint="eastAsia" w:ascii="宋体" w:hAnsi="宋体" w:cs="宋体"/>
          <w:b/>
          <w:bCs/>
          <w:color w:val="000000"/>
          <w:kern w:val="0"/>
          <w:sz w:val="18"/>
          <w:szCs w:val="18"/>
        </w:rPr>
        <w:t>应用培训课程：</w:t>
      </w:r>
    </w:p>
    <w:tbl>
      <w:tblPr>
        <w:tblStyle w:val="2"/>
        <w:tblW w:w="9796" w:type="dxa"/>
        <w:tblInd w:w="93" w:type="dxa"/>
        <w:tblLayout w:type="fixed"/>
        <w:tblCellMar>
          <w:top w:w="0" w:type="dxa"/>
          <w:left w:w="108" w:type="dxa"/>
          <w:bottom w:w="0" w:type="dxa"/>
          <w:right w:w="108" w:type="dxa"/>
        </w:tblCellMar>
      </w:tblPr>
      <w:tblGrid>
        <w:gridCol w:w="1858"/>
        <w:gridCol w:w="7088"/>
        <w:gridCol w:w="850"/>
      </w:tblGrid>
      <w:tr>
        <w:tblPrEx>
          <w:tblCellMar>
            <w:top w:w="0" w:type="dxa"/>
            <w:left w:w="108" w:type="dxa"/>
            <w:bottom w:w="0" w:type="dxa"/>
            <w:right w:w="108" w:type="dxa"/>
          </w:tblCellMar>
        </w:tblPrEx>
        <w:trPr>
          <w:trHeight w:val="521" w:hRule="atLeast"/>
        </w:trPr>
        <w:tc>
          <w:tcPr>
            <w:tcW w:w="1858" w:type="dxa"/>
            <w:tcBorders>
              <w:top w:val="single" w:color="auto" w:sz="4" w:space="0"/>
              <w:left w:val="single" w:color="auto" w:sz="4" w:space="0"/>
              <w:bottom w:val="single" w:color="auto" w:sz="4" w:space="0"/>
              <w:right w:val="single" w:color="auto" w:sz="4" w:space="0"/>
            </w:tcBorders>
            <w:shd w:val="clear" w:color="000000" w:fill="CACACA"/>
            <w:vAlign w:val="center"/>
          </w:tcPr>
          <w:p>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课程名称</w:t>
            </w:r>
          </w:p>
        </w:tc>
        <w:tc>
          <w:tcPr>
            <w:tcW w:w="7088" w:type="dxa"/>
            <w:tcBorders>
              <w:top w:val="single" w:color="auto" w:sz="4" w:space="0"/>
              <w:left w:val="nil"/>
              <w:bottom w:val="single" w:color="auto" w:sz="4" w:space="0"/>
              <w:right w:val="single" w:color="auto" w:sz="4" w:space="0"/>
            </w:tcBorders>
            <w:shd w:val="clear" w:color="000000" w:fill="CACACA"/>
            <w:vAlign w:val="center"/>
          </w:tcPr>
          <w:p>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课程内容</w:t>
            </w:r>
          </w:p>
        </w:tc>
        <w:tc>
          <w:tcPr>
            <w:tcW w:w="850" w:type="dxa"/>
            <w:tcBorders>
              <w:top w:val="single" w:color="auto" w:sz="4" w:space="0"/>
              <w:left w:val="nil"/>
              <w:bottom w:val="single" w:color="auto" w:sz="4" w:space="0"/>
              <w:right w:val="single" w:color="auto" w:sz="4" w:space="0"/>
            </w:tcBorders>
            <w:shd w:val="clear" w:color="000000" w:fill="CACACA"/>
            <w:vAlign w:val="bottom"/>
          </w:tcPr>
          <w:p>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课时（天）</w:t>
            </w:r>
          </w:p>
        </w:tc>
      </w:tr>
      <w:tr>
        <w:tblPrEx>
          <w:tblCellMar>
            <w:top w:w="0" w:type="dxa"/>
            <w:left w:w="108" w:type="dxa"/>
            <w:bottom w:w="0" w:type="dxa"/>
            <w:right w:w="108" w:type="dxa"/>
          </w:tblCellMar>
        </w:tblPrEx>
        <w:trPr>
          <w:trHeight w:val="345" w:hRule="atLeast"/>
        </w:trPr>
        <w:tc>
          <w:tcPr>
            <w:tcW w:w="8946" w:type="dxa"/>
            <w:gridSpan w:val="2"/>
            <w:tcBorders>
              <w:top w:val="single" w:color="auto" w:sz="4" w:space="0"/>
              <w:left w:val="single" w:color="auto" w:sz="4" w:space="0"/>
              <w:bottom w:val="single" w:color="auto" w:sz="4" w:space="0"/>
              <w:right w:val="single" w:color="000000" w:sz="4" w:space="0"/>
            </w:tcBorders>
            <w:shd w:val="clear" w:color="000000" w:fill="CACACA"/>
            <w:vAlign w:val="center"/>
          </w:tcPr>
          <w:p>
            <w:pPr>
              <w:widowControl/>
              <w:jc w:val="left"/>
              <w:rPr>
                <w:rFonts w:ascii="宋体" w:hAnsi="宋体" w:cs="宋体"/>
                <w:b/>
                <w:bCs/>
                <w:color w:val="000000"/>
                <w:kern w:val="0"/>
                <w:sz w:val="18"/>
                <w:szCs w:val="18"/>
              </w:rPr>
            </w:pPr>
            <w:r>
              <w:rPr>
                <w:rFonts w:hint="eastAsia" w:ascii="宋体" w:hAnsi="宋体" w:cs="宋体"/>
                <w:b/>
                <w:bCs/>
                <w:color w:val="000000"/>
                <w:kern w:val="0"/>
                <w:sz w:val="18"/>
                <w:szCs w:val="18"/>
              </w:rPr>
              <w:t>系统介绍</w:t>
            </w:r>
          </w:p>
        </w:tc>
        <w:tc>
          <w:tcPr>
            <w:tcW w:w="850" w:type="dxa"/>
            <w:tcBorders>
              <w:top w:val="nil"/>
              <w:left w:val="nil"/>
              <w:bottom w:val="single" w:color="auto" w:sz="4" w:space="0"/>
              <w:right w:val="single" w:color="auto" w:sz="4" w:space="0"/>
            </w:tcBorders>
            <w:shd w:val="clear" w:color="000000" w:fill="CACACA"/>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576" w:hRule="atLeast"/>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Microsoft Dynamics 365 for Finance and Operations系统介绍</w:t>
            </w:r>
          </w:p>
        </w:tc>
        <w:tc>
          <w:tcPr>
            <w:tcW w:w="708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Dynamics 365 for Finance and Operations产品背景与未来展望；</w:t>
            </w:r>
          </w:p>
          <w:p>
            <w:pPr>
              <w:widowControl/>
              <w:jc w:val="left"/>
              <w:rPr>
                <w:rFonts w:ascii="宋体" w:hAnsi="宋体" w:cs="宋体"/>
                <w:color w:val="000000"/>
                <w:kern w:val="0"/>
                <w:sz w:val="18"/>
                <w:szCs w:val="18"/>
              </w:rPr>
            </w:pPr>
            <w:r>
              <w:rPr>
                <w:rFonts w:hint="eastAsia" w:ascii="宋体" w:hAnsi="宋体" w:cs="宋体"/>
                <w:color w:val="000000"/>
                <w:kern w:val="0"/>
                <w:sz w:val="18"/>
                <w:szCs w:val="18"/>
              </w:rPr>
              <w:t>Dynamics 365 for Finance and Operations系统架构与方案优势；</w:t>
            </w:r>
          </w:p>
          <w:p>
            <w:pPr>
              <w:widowControl/>
              <w:jc w:val="left"/>
              <w:rPr>
                <w:rFonts w:ascii="宋体" w:hAnsi="宋体" w:cs="宋体"/>
                <w:color w:val="000000"/>
                <w:kern w:val="0"/>
                <w:sz w:val="18"/>
                <w:szCs w:val="18"/>
              </w:rPr>
            </w:pPr>
            <w:r>
              <w:rPr>
                <w:rFonts w:hint="eastAsia" w:ascii="宋体" w:hAnsi="宋体" w:cs="宋体"/>
                <w:color w:val="000000"/>
                <w:kern w:val="0"/>
                <w:sz w:val="18"/>
                <w:szCs w:val="18"/>
              </w:rPr>
              <w:t>Dynamics 365 for Finance and Operations整体应用逻辑和基本操作体验</w:t>
            </w:r>
          </w:p>
        </w:tc>
        <w:tc>
          <w:tcPr>
            <w:tcW w:w="85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r>
      <w:tr>
        <w:tblPrEx>
          <w:tblCellMar>
            <w:top w:w="0" w:type="dxa"/>
            <w:left w:w="108" w:type="dxa"/>
            <w:bottom w:w="0" w:type="dxa"/>
            <w:right w:w="108" w:type="dxa"/>
          </w:tblCellMar>
        </w:tblPrEx>
        <w:trPr>
          <w:trHeight w:val="420" w:hRule="atLeast"/>
        </w:trPr>
        <w:tc>
          <w:tcPr>
            <w:tcW w:w="8946" w:type="dxa"/>
            <w:gridSpan w:val="2"/>
            <w:tcBorders>
              <w:top w:val="single" w:color="auto" w:sz="4" w:space="0"/>
              <w:left w:val="single" w:color="auto" w:sz="4" w:space="0"/>
              <w:bottom w:val="single" w:color="auto" w:sz="4" w:space="0"/>
              <w:right w:val="single" w:color="000000" w:sz="4" w:space="0"/>
            </w:tcBorders>
            <w:shd w:val="clear" w:color="000000" w:fill="CACACA"/>
            <w:vAlign w:val="center"/>
          </w:tcPr>
          <w:p>
            <w:pPr>
              <w:widowControl/>
              <w:jc w:val="left"/>
              <w:rPr>
                <w:rFonts w:ascii="宋体" w:hAnsi="宋体" w:cs="宋体"/>
                <w:b/>
                <w:bCs/>
                <w:color w:val="000000"/>
                <w:kern w:val="0"/>
                <w:sz w:val="18"/>
                <w:szCs w:val="18"/>
              </w:rPr>
            </w:pPr>
            <w:r>
              <w:rPr>
                <w:rFonts w:hint="eastAsia" w:ascii="宋体" w:hAnsi="宋体" w:cs="宋体"/>
                <w:b/>
                <w:bCs/>
                <w:color w:val="000000"/>
                <w:kern w:val="0"/>
                <w:sz w:val="18"/>
                <w:szCs w:val="18"/>
              </w:rPr>
              <w:t>供应链管理（贸易、物流）</w:t>
            </w:r>
          </w:p>
        </w:tc>
        <w:tc>
          <w:tcPr>
            <w:tcW w:w="850" w:type="dxa"/>
            <w:tcBorders>
              <w:top w:val="nil"/>
              <w:left w:val="nil"/>
              <w:bottom w:val="single" w:color="auto" w:sz="4" w:space="0"/>
              <w:right w:val="single" w:color="auto" w:sz="4" w:space="0"/>
            </w:tcBorders>
            <w:shd w:val="clear" w:color="000000" w:fill="CACACA"/>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720" w:hRule="atLeast"/>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产品信息管理</w:t>
            </w:r>
          </w:p>
        </w:tc>
        <w:tc>
          <w:tcPr>
            <w:tcW w:w="7088" w:type="dxa"/>
            <w:tcBorders>
              <w:top w:val="nil"/>
              <w:left w:val="nil"/>
              <w:bottom w:val="single" w:color="auto" w:sz="4" w:space="0"/>
              <w:right w:val="single" w:color="auto" w:sz="4" w:space="0"/>
            </w:tcBorders>
            <w:shd w:val="clear" w:color="auto" w:fill="auto"/>
            <w:vAlign w:val="center"/>
          </w:tcPr>
          <w:p>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产品概念、基础产品及产品变体概念、库存维度组、跟踪维度组、产品发布、计量单位</w:t>
            </w:r>
          </w:p>
        </w:tc>
        <w:tc>
          <w:tcPr>
            <w:tcW w:w="850"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cs="宋体"/>
                <w:color w:val="000000"/>
                <w:kern w:val="0"/>
                <w:sz w:val="18"/>
                <w:szCs w:val="18"/>
              </w:rPr>
            </w:pPr>
            <w:r>
              <w:rPr>
                <w:rFonts w:hint="eastAsia" w:ascii="宋体" w:hAnsi="宋体" w:cs="宋体"/>
                <w:color w:val="000000"/>
                <w:kern w:val="0"/>
                <w:sz w:val="18"/>
                <w:szCs w:val="18"/>
              </w:rPr>
              <w:t>0.5</w:t>
            </w:r>
          </w:p>
        </w:tc>
      </w:tr>
      <w:tr>
        <w:tblPrEx>
          <w:tblCellMar>
            <w:top w:w="0" w:type="dxa"/>
            <w:left w:w="108" w:type="dxa"/>
            <w:bottom w:w="0" w:type="dxa"/>
            <w:right w:w="108" w:type="dxa"/>
          </w:tblCellMar>
        </w:tblPrEx>
        <w:trPr>
          <w:trHeight w:val="720" w:hRule="atLeast"/>
        </w:trPr>
        <w:tc>
          <w:tcPr>
            <w:tcW w:w="185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销售管理</w:t>
            </w:r>
          </w:p>
        </w:tc>
        <w:tc>
          <w:tcPr>
            <w:tcW w:w="7088"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客户管理；贸易协定；快速报价；销售预测；销售订单管理；交货跟踪；销售退货；销售发票</w:t>
            </w:r>
          </w:p>
        </w:tc>
        <w:tc>
          <w:tcPr>
            <w:tcW w:w="85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r>
      <w:tr>
        <w:tblPrEx>
          <w:tblCellMar>
            <w:top w:w="0" w:type="dxa"/>
            <w:left w:w="108" w:type="dxa"/>
            <w:bottom w:w="0" w:type="dxa"/>
            <w:right w:w="108" w:type="dxa"/>
          </w:tblCellMar>
        </w:tblPrEx>
        <w:trPr>
          <w:trHeight w:val="720" w:hRule="atLeast"/>
        </w:trPr>
        <w:tc>
          <w:tcPr>
            <w:tcW w:w="185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采购管理</w:t>
            </w:r>
          </w:p>
        </w:tc>
        <w:tc>
          <w:tcPr>
            <w:tcW w:w="7088"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供应商管理；贸易协定；采购订单；交货跟踪；运杂费管理；</w:t>
            </w:r>
            <w:r>
              <w:rPr>
                <w:rFonts w:ascii="宋体" w:hAnsi="宋体" w:cs="宋体"/>
                <w:color w:val="000000"/>
                <w:kern w:val="0"/>
                <w:sz w:val="18"/>
                <w:szCs w:val="18"/>
              </w:rPr>
              <w:t>采购退货</w:t>
            </w:r>
            <w:r>
              <w:rPr>
                <w:rFonts w:hint="eastAsia" w:ascii="宋体" w:hAnsi="宋体" w:cs="宋体"/>
                <w:color w:val="000000"/>
                <w:kern w:val="0"/>
                <w:sz w:val="18"/>
                <w:szCs w:val="18"/>
              </w:rPr>
              <w:t>；采购发票</w:t>
            </w:r>
          </w:p>
        </w:tc>
        <w:tc>
          <w:tcPr>
            <w:tcW w:w="85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r>
      <w:tr>
        <w:tblPrEx>
          <w:tblCellMar>
            <w:top w:w="0" w:type="dxa"/>
            <w:left w:w="108" w:type="dxa"/>
            <w:bottom w:w="0" w:type="dxa"/>
            <w:right w:w="108" w:type="dxa"/>
          </w:tblCellMar>
        </w:tblPrEx>
        <w:trPr>
          <w:trHeight w:val="720" w:hRule="atLeast"/>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库存管理</w:t>
            </w:r>
          </w:p>
        </w:tc>
        <w:tc>
          <w:tcPr>
            <w:tcW w:w="708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物料组；物料模型组；库存维度组；库存日常事务；盘点；库存ABC管理；运杂费处理；暂估与物理成本；库存关账与调整</w:t>
            </w:r>
          </w:p>
        </w:tc>
        <w:tc>
          <w:tcPr>
            <w:tcW w:w="85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0.5</w:t>
            </w:r>
          </w:p>
        </w:tc>
      </w:tr>
      <w:tr>
        <w:tblPrEx>
          <w:tblCellMar>
            <w:top w:w="0" w:type="dxa"/>
            <w:left w:w="108" w:type="dxa"/>
            <w:bottom w:w="0" w:type="dxa"/>
            <w:right w:w="108" w:type="dxa"/>
          </w:tblCellMar>
        </w:tblPrEx>
        <w:trPr>
          <w:trHeight w:val="345" w:hRule="atLeast"/>
        </w:trPr>
        <w:tc>
          <w:tcPr>
            <w:tcW w:w="8946" w:type="dxa"/>
            <w:gridSpan w:val="2"/>
            <w:tcBorders>
              <w:top w:val="single" w:color="auto" w:sz="4" w:space="0"/>
              <w:left w:val="single" w:color="auto" w:sz="4" w:space="0"/>
              <w:bottom w:val="single" w:color="auto" w:sz="4" w:space="0"/>
              <w:right w:val="single" w:color="000000" w:sz="4" w:space="0"/>
            </w:tcBorders>
            <w:shd w:val="clear" w:color="000000" w:fill="CACACA"/>
            <w:vAlign w:val="center"/>
          </w:tcPr>
          <w:p>
            <w:pPr>
              <w:widowControl/>
              <w:jc w:val="left"/>
              <w:rPr>
                <w:rFonts w:ascii="宋体" w:hAnsi="宋体" w:cs="宋体"/>
                <w:b/>
                <w:bCs/>
                <w:color w:val="000000"/>
                <w:kern w:val="0"/>
                <w:sz w:val="18"/>
                <w:szCs w:val="18"/>
              </w:rPr>
            </w:pPr>
            <w:r>
              <w:rPr>
                <w:rFonts w:hint="eastAsia" w:ascii="宋体" w:hAnsi="宋体" w:cs="宋体"/>
                <w:b/>
                <w:bCs/>
                <w:color w:val="000000"/>
                <w:kern w:val="0"/>
                <w:sz w:val="18"/>
                <w:szCs w:val="18"/>
              </w:rPr>
              <w:t>供应链管理（计划、生产）</w:t>
            </w:r>
          </w:p>
        </w:tc>
        <w:tc>
          <w:tcPr>
            <w:tcW w:w="850" w:type="dxa"/>
            <w:tcBorders>
              <w:top w:val="nil"/>
              <w:left w:val="nil"/>
              <w:bottom w:val="single" w:color="auto" w:sz="4" w:space="0"/>
              <w:right w:val="single" w:color="auto" w:sz="4" w:space="0"/>
            </w:tcBorders>
            <w:shd w:val="clear" w:color="000000" w:fill="CACACA"/>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720" w:hRule="atLeast"/>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BOM</w:t>
            </w:r>
            <w:r>
              <w:rPr>
                <w:rFonts w:ascii="宋体" w:hAnsi="宋体" w:cs="宋体"/>
                <w:color w:val="000000"/>
                <w:kern w:val="0"/>
                <w:sz w:val="18"/>
                <w:szCs w:val="18"/>
              </w:rPr>
              <w:t>与工艺路线</w:t>
            </w:r>
          </w:p>
        </w:tc>
        <w:tc>
          <w:tcPr>
            <w:tcW w:w="7088" w:type="dxa"/>
            <w:tcBorders>
              <w:top w:val="nil"/>
              <w:left w:val="nil"/>
              <w:bottom w:val="single" w:color="auto" w:sz="4" w:space="0"/>
              <w:right w:val="single" w:color="auto" w:sz="4" w:space="0"/>
            </w:tcBorders>
            <w:shd w:val="clear" w:color="auto" w:fill="auto"/>
            <w:vAlign w:val="center"/>
          </w:tcPr>
          <w:p>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物料清单概念；BOM创建与审核</w:t>
            </w:r>
            <w:r>
              <w:rPr>
                <w:rFonts w:ascii="宋体" w:hAnsi="宋体" w:cs="宋体"/>
                <w:color w:val="000000"/>
                <w:kern w:val="0"/>
                <w:sz w:val="18"/>
                <w:szCs w:val="18"/>
              </w:rPr>
              <w:t>；BOM版本；</w:t>
            </w:r>
            <w:r>
              <w:rPr>
                <w:rFonts w:hint="eastAsia" w:ascii="宋体" w:hAnsi="宋体" w:cs="宋体"/>
                <w:color w:val="000000"/>
                <w:kern w:val="0"/>
                <w:sz w:val="18"/>
                <w:szCs w:val="18"/>
              </w:rPr>
              <w:t>工艺路线概念；资源组；资源；</w:t>
            </w:r>
            <w:r>
              <w:rPr>
                <w:rFonts w:ascii="宋体" w:hAnsi="宋体" w:cs="宋体"/>
                <w:color w:val="000000"/>
                <w:kern w:val="0"/>
                <w:sz w:val="18"/>
                <w:szCs w:val="18"/>
              </w:rPr>
              <w:t>工序；</w:t>
            </w:r>
            <w:r>
              <w:rPr>
                <w:rFonts w:hint="eastAsia" w:ascii="宋体" w:hAnsi="宋体" w:cs="宋体"/>
                <w:color w:val="000000"/>
                <w:kern w:val="0"/>
                <w:sz w:val="18"/>
                <w:szCs w:val="18"/>
              </w:rPr>
              <w:t>工艺路线</w:t>
            </w:r>
            <w:r>
              <w:rPr>
                <w:rFonts w:ascii="宋体" w:hAnsi="宋体" w:cs="宋体"/>
                <w:color w:val="000000"/>
                <w:kern w:val="0"/>
                <w:sz w:val="18"/>
                <w:szCs w:val="18"/>
              </w:rPr>
              <w:t>创建于审核；</w:t>
            </w:r>
            <w:r>
              <w:rPr>
                <w:rFonts w:hint="eastAsia" w:ascii="宋体" w:hAnsi="宋体" w:cs="宋体"/>
                <w:color w:val="000000"/>
                <w:kern w:val="0"/>
                <w:sz w:val="18"/>
                <w:szCs w:val="18"/>
              </w:rPr>
              <w:t>工艺路线版本</w:t>
            </w:r>
          </w:p>
        </w:tc>
        <w:tc>
          <w:tcPr>
            <w:tcW w:w="85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r>
      <w:tr>
        <w:tblPrEx>
          <w:tblCellMar>
            <w:top w:w="0" w:type="dxa"/>
            <w:left w:w="108" w:type="dxa"/>
            <w:bottom w:w="0" w:type="dxa"/>
            <w:right w:w="108" w:type="dxa"/>
          </w:tblCellMar>
        </w:tblPrEx>
        <w:trPr>
          <w:trHeight w:val="720" w:hRule="atLeast"/>
        </w:trPr>
        <w:tc>
          <w:tcPr>
            <w:tcW w:w="185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主计划管理</w:t>
            </w:r>
          </w:p>
        </w:tc>
        <w:tc>
          <w:tcPr>
            <w:tcW w:w="708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工厂日历；主计划参数设置；预测计划；主计划运算；主计划建议分析与处理；安全库存</w:t>
            </w: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r>
      <w:tr>
        <w:tblPrEx>
          <w:tblCellMar>
            <w:top w:w="0" w:type="dxa"/>
            <w:left w:w="108" w:type="dxa"/>
            <w:bottom w:w="0" w:type="dxa"/>
            <w:right w:w="108" w:type="dxa"/>
          </w:tblCellMar>
        </w:tblPrEx>
        <w:trPr>
          <w:trHeight w:val="720" w:hRule="atLeast"/>
        </w:trPr>
        <w:tc>
          <w:tcPr>
            <w:tcW w:w="185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生产管理</w:t>
            </w:r>
          </w:p>
        </w:tc>
        <w:tc>
          <w:tcPr>
            <w:tcW w:w="7088"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生产订单管理；高级排产；外协管理；工序管理；生产领料与完工入库</w:t>
            </w:r>
          </w:p>
        </w:tc>
        <w:tc>
          <w:tcPr>
            <w:tcW w:w="85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r>
      <w:tr>
        <w:tblPrEx>
          <w:tblCellMar>
            <w:top w:w="0" w:type="dxa"/>
            <w:left w:w="108" w:type="dxa"/>
            <w:bottom w:w="0" w:type="dxa"/>
            <w:right w:w="108" w:type="dxa"/>
          </w:tblCellMar>
        </w:tblPrEx>
        <w:trPr>
          <w:trHeight w:val="448" w:hRule="atLeast"/>
        </w:trPr>
        <w:tc>
          <w:tcPr>
            <w:tcW w:w="8946" w:type="dxa"/>
            <w:gridSpan w:val="2"/>
            <w:tcBorders>
              <w:top w:val="single" w:color="auto" w:sz="4" w:space="0"/>
              <w:left w:val="single" w:color="auto" w:sz="4" w:space="0"/>
              <w:bottom w:val="single" w:color="auto" w:sz="4" w:space="0"/>
              <w:right w:val="single" w:color="000000" w:sz="4" w:space="0"/>
            </w:tcBorders>
            <w:shd w:val="clear" w:color="000000" w:fill="CACACA"/>
            <w:vAlign w:val="center"/>
          </w:tcPr>
          <w:p>
            <w:pPr>
              <w:widowControl/>
              <w:jc w:val="left"/>
              <w:rPr>
                <w:rFonts w:ascii="宋体" w:hAnsi="宋体" w:cs="宋体"/>
                <w:b/>
                <w:bCs/>
                <w:color w:val="000000"/>
                <w:kern w:val="0"/>
                <w:sz w:val="18"/>
                <w:szCs w:val="18"/>
              </w:rPr>
            </w:pPr>
            <w:r>
              <w:rPr>
                <w:rFonts w:hint="eastAsia" w:ascii="宋体" w:hAnsi="宋体" w:cs="宋体"/>
                <w:b/>
                <w:bCs/>
                <w:color w:val="000000"/>
                <w:kern w:val="0"/>
                <w:sz w:val="18"/>
                <w:szCs w:val="18"/>
              </w:rPr>
              <w:t>财务管理</w:t>
            </w:r>
          </w:p>
        </w:tc>
        <w:tc>
          <w:tcPr>
            <w:tcW w:w="850" w:type="dxa"/>
            <w:tcBorders>
              <w:top w:val="nil"/>
              <w:left w:val="nil"/>
              <w:bottom w:val="single" w:color="auto" w:sz="4" w:space="0"/>
              <w:right w:val="single" w:color="auto" w:sz="4" w:space="0"/>
            </w:tcBorders>
            <w:shd w:val="clear" w:color="000000" w:fill="CACACA"/>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720" w:hRule="atLeast"/>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总账</w:t>
            </w:r>
          </w:p>
        </w:tc>
        <w:tc>
          <w:tcPr>
            <w:tcW w:w="708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财务基础设置；凭证管理；科目账簿；辅助账簿；多币种核算；查询与报告；银行管理；期间与年度处理；分摊处理</w:t>
            </w:r>
          </w:p>
        </w:tc>
        <w:tc>
          <w:tcPr>
            <w:tcW w:w="85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0.5</w:t>
            </w:r>
          </w:p>
        </w:tc>
      </w:tr>
      <w:tr>
        <w:tblPrEx>
          <w:tblCellMar>
            <w:top w:w="0" w:type="dxa"/>
            <w:left w:w="108" w:type="dxa"/>
            <w:bottom w:w="0" w:type="dxa"/>
            <w:right w:w="108" w:type="dxa"/>
          </w:tblCellMar>
        </w:tblPrEx>
        <w:trPr>
          <w:trHeight w:val="720" w:hRule="atLeast"/>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应付管理</w:t>
            </w:r>
          </w:p>
        </w:tc>
        <w:tc>
          <w:tcPr>
            <w:tcW w:w="708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应付参数设置；付款计划；预付账款；应付账款；采购结算</w:t>
            </w:r>
            <w:r>
              <w:rPr>
                <w:rFonts w:ascii="宋体" w:hAnsi="宋体" w:cs="宋体"/>
                <w:color w:val="000000"/>
                <w:kern w:val="0"/>
                <w:sz w:val="18"/>
                <w:szCs w:val="18"/>
              </w:rPr>
              <w:t>；</w:t>
            </w:r>
            <w:r>
              <w:rPr>
                <w:rFonts w:hint="eastAsia" w:ascii="宋体" w:hAnsi="宋体" w:cs="宋体"/>
                <w:color w:val="000000"/>
                <w:kern w:val="0"/>
                <w:sz w:val="18"/>
                <w:szCs w:val="18"/>
              </w:rPr>
              <w:t>应付账款查询</w:t>
            </w:r>
          </w:p>
        </w:tc>
        <w:tc>
          <w:tcPr>
            <w:tcW w:w="85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ascii="宋体" w:hAnsi="宋体" w:cs="宋体"/>
                <w:color w:val="000000"/>
                <w:kern w:val="0"/>
                <w:sz w:val="18"/>
                <w:szCs w:val="18"/>
              </w:rPr>
              <w:t>0.</w:t>
            </w:r>
            <w:r>
              <w:rPr>
                <w:rFonts w:hint="eastAsia" w:ascii="宋体" w:hAnsi="宋体" w:cs="宋体"/>
                <w:color w:val="000000"/>
                <w:kern w:val="0"/>
                <w:sz w:val="18"/>
                <w:szCs w:val="18"/>
              </w:rPr>
              <w:t>3</w:t>
            </w:r>
          </w:p>
        </w:tc>
      </w:tr>
      <w:tr>
        <w:tblPrEx>
          <w:tblCellMar>
            <w:top w:w="0" w:type="dxa"/>
            <w:left w:w="108" w:type="dxa"/>
            <w:bottom w:w="0" w:type="dxa"/>
            <w:right w:w="108" w:type="dxa"/>
          </w:tblCellMar>
        </w:tblPrEx>
        <w:trPr>
          <w:trHeight w:val="720" w:hRule="atLeast"/>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应收管理</w:t>
            </w:r>
          </w:p>
        </w:tc>
        <w:tc>
          <w:tcPr>
            <w:tcW w:w="7088" w:type="dxa"/>
            <w:tcBorders>
              <w:top w:val="nil"/>
              <w:left w:val="nil"/>
              <w:bottom w:val="single" w:color="auto" w:sz="4" w:space="0"/>
              <w:right w:val="single" w:color="auto" w:sz="4" w:space="0"/>
            </w:tcBorders>
            <w:shd w:val="clear" w:color="auto" w:fill="auto"/>
            <w:vAlign w:val="center"/>
          </w:tcPr>
          <w:p>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应付参数设置；收款条件；收款日记账；销售结算；交易查询；审计追踪</w:t>
            </w:r>
          </w:p>
        </w:tc>
        <w:tc>
          <w:tcPr>
            <w:tcW w:w="850"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cs="宋体"/>
                <w:color w:val="000000"/>
                <w:kern w:val="0"/>
                <w:sz w:val="18"/>
                <w:szCs w:val="18"/>
              </w:rPr>
            </w:pPr>
            <w:r>
              <w:rPr>
                <w:rFonts w:ascii="宋体" w:hAnsi="宋体" w:cs="宋体"/>
                <w:color w:val="000000"/>
                <w:kern w:val="0"/>
                <w:sz w:val="18"/>
                <w:szCs w:val="18"/>
              </w:rPr>
              <w:t>0.</w:t>
            </w:r>
            <w:r>
              <w:rPr>
                <w:rFonts w:hint="eastAsia" w:ascii="宋体" w:hAnsi="宋体" w:cs="宋体"/>
                <w:color w:val="000000"/>
                <w:kern w:val="0"/>
                <w:sz w:val="18"/>
                <w:szCs w:val="18"/>
              </w:rPr>
              <w:t>2</w:t>
            </w:r>
          </w:p>
        </w:tc>
      </w:tr>
      <w:tr>
        <w:tblPrEx>
          <w:tblCellMar>
            <w:top w:w="0" w:type="dxa"/>
            <w:left w:w="108" w:type="dxa"/>
            <w:bottom w:w="0" w:type="dxa"/>
            <w:right w:w="108" w:type="dxa"/>
          </w:tblCellMar>
        </w:tblPrEx>
        <w:trPr>
          <w:trHeight w:val="720" w:hRule="atLeast"/>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固定资产管理</w:t>
            </w:r>
          </w:p>
        </w:tc>
        <w:tc>
          <w:tcPr>
            <w:tcW w:w="7088" w:type="dxa"/>
            <w:tcBorders>
              <w:top w:val="nil"/>
              <w:left w:val="nil"/>
              <w:bottom w:val="single" w:color="auto" w:sz="4" w:space="0"/>
              <w:right w:val="single" w:color="auto" w:sz="4" w:space="0"/>
            </w:tcBorders>
            <w:shd w:val="clear" w:color="auto" w:fill="auto"/>
            <w:vAlign w:val="center"/>
          </w:tcPr>
          <w:p>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固定资产卡片；固定资产过账模板设置；固定资产新增、折旧、变动、处置与销售等账务处理</w:t>
            </w:r>
          </w:p>
        </w:tc>
        <w:tc>
          <w:tcPr>
            <w:tcW w:w="850"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cs="宋体"/>
                <w:color w:val="000000"/>
                <w:kern w:val="0"/>
                <w:sz w:val="18"/>
                <w:szCs w:val="18"/>
              </w:rPr>
            </w:pPr>
            <w:r>
              <w:rPr>
                <w:rFonts w:hint="eastAsia" w:ascii="宋体" w:hAnsi="宋体" w:cs="宋体"/>
                <w:color w:val="000000"/>
                <w:kern w:val="0"/>
                <w:sz w:val="18"/>
                <w:szCs w:val="18"/>
              </w:rPr>
              <w:t>0.5</w:t>
            </w:r>
          </w:p>
        </w:tc>
      </w:tr>
      <w:tr>
        <w:tblPrEx>
          <w:tblCellMar>
            <w:top w:w="0" w:type="dxa"/>
            <w:left w:w="108" w:type="dxa"/>
            <w:bottom w:w="0" w:type="dxa"/>
            <w:right w:w="108" w:type="dxa"/>
          </w:tblCellMar>
        </w:tblPrEx>
        <w:trPr>
          <w:trHeight w:val="720" w:hRule="atLeast"/>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预算管理</w:t>
            </w:r>
          </w:p>
        </w:tc>
        <w:tc>
          <w:tcPr>
            <w:tcW w:w="7088" w:type="dxa"/>
            <w:tcBorders>
              <w:top w:val="nil"/>
              <w:left w:val="nil"/>
              <w:bottom w:val="single" w:color="auto" w:sz="4" w:space="0"/>
              <w:right w:val="single" w:color="auto" w:sz="4" w:space="0"/>
            </w:tcBorders>
            <w:shd w:val="clear" w:color="auto" w:fill="auto"/>
            <w:vAlign w:val="center"/>
          </w:tcPr>
          <w:p>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预算编制、预算控制、预算分析</w:t>
            </w:r>
          </w:p>
        </w:tc>
        <w:tc>
          <w:tcPr>
            <w:tcW w:w="85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0.5</w:t>
            </w:r>
          </w:p>
        </w:tc>
      </w:tr>
      <w:tr>
        <w:tblPrEx>
          <w:tblCellMar>
            <w:top w:w="0" w:type="dxa"/>
            <w:left w:w="108" w:type="dxa"/>
            <w:bottom w:w="0" w:type="dxa"/>
            <w:right w:w="108" w:type="dxa"/>
          </w:tblCellMar>
        </w:tblPrEx>
        <w:trPr>
          <w:trHeight w:val="720" w:hRule="atLeast"/>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成本管理</w:t>
            </w:r>
          </w:p>
        </w:tc>
        <w:tc>
          <w:tcPr>
            <w:tcW w:w="7088" w:type="dxa"/>
            <w:tcBorders>
              <w:top w:val="nil"/>
              <w:left w:val="nil"/>
              <w:bottom w:val="single" w:color="auto" w:sz="4" w:space="0"/>
              <w:right w:val="single" w:color="auto" w:sz="4" w:space="0"/>
            </w:tcBorders>
            <w:shd w:val="clear" w:color="auto" w:fill="auto"/>
            <w:vAlign w:val="center"/>
          </w:tcPr>
          <w:p>
            <w:pPr>
              <w:widowControl/>
              <w:jc w:val="left"/>
              <w:rPr>
                <w:rFonts w:hint="eastAsia" w:ascii="宋体" w:hAnsi="宋体" w:cs="宋体"/>
                <w:color w:val="000000"/>
                <w:kern w:val="0"/>
                <w:sz w:val="18"/>
                <w:szCs w:val="18"/>
              </w:rPr>
            </w:pPr>
            <w:r>
              <w:rPr>
                <w:rFonts w:hint="eastAsia" w:ascii="宋体" w:hAnsi="宋体" w:cs="宋体"/>
                <w:color w:val="000000"/>
                <w:kern w:val="0"/>
                <w:sz w:val="18"/>
                <w:szCs w:val="18"/>
              </w:rPr>
              <w:t>库存成本管理、制造成本管理</w:t>
            </w:r>
          </w:p>
        </w:tc>
        <w:tc>
          <w:tcPr>
            <w:tcW w:w="85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r>
      <w:tr>
        <w:tblPrEx>
          <w:tblCellMar>
            <w:top w:w="0" w:type="dxa"/>
            <w:left w:w="108" w:type="dxa"/>
            <w:bottom w:w="0" w:type="dxa"/>
            <w:right w:w="108" w:type="dxa"/>
          </w:tblCellMar>
        </w:tblPrEx>
        <w:trPr>
          <w:trHeight w:val="375" w:hRule="atLeast"/>
        </w:trPr>
        <w:tc>
          <w:tcPr>
            <w:tcW w:w="9796" w:type="dxa"/>
            <w:gridSpan w:val="3"/>
            <w:tcBorders>
              <w:top w:val="single" w:color="auto" w:sz="4" w:space="0"/>
              <w:left w:val="single" w:color="auto" w:sz="4" w:space="0"/>
              <w:bottom w:val="single" w:color="auto" w:sz="4" w:space="0"/>
              <w:right w:val="single" w:color="000000" w:sz="4" w:space="0"/>
            </w:tcBorders>
            <w:shd w:val="clear" w:color="auto" w:fill="auto"/>
            <w:noWrap/>
            <w:vAlign w:val="center"/>
          </w:tcPr>
          <w:p>
            <w:pPr>
              <w:widowControl/>
              <w:jc w:val="left"/>
              <w:rPr>
                <w:rFonts w:ascii="宋体" w:hAnsi="宋体" w:cs="宋体"/>
                <w:b/>
                <w:bCs/>
                <w:color w:val="000000"/>
                <w:kern w:val="0"/>
                <w:sz w:val="18"/>
                <w:szCs w:val="18"/>
              </w:rPr>
            </w:pPr>
            <w:r>
              <w:rPr>
                <w:rFonts w:hint="eastAsia" w:ascii="宋体" w:hAnsi="宋体" w:cs="宋体"/>
                <w:b/>
                <w:bCs/>
                <w:color w:val="000000"/>
                <w:kern w:val="0"/>
                <w:sz w:val="18"/>
                <w:szCs w:val="18"/>
              </w:rPr>
              <w:t>技术培训课程：</w:t>
            </w:r>
          </w:p>
        </w:tc>
      </w:tr>
      <w:tr>
        <w:tblPrEx>
          <w:tblCellMar>
            <w:top w:w="0" w:type="dxa"/>
            <w:left w:w="108" w:type="dxa"/>
            <w:bottom w:w="0" w:type="dxa"/>
            <w:right w:w="108" w:type="dxa"/>
          </w:tblCellMar>
        </w:tblPrEx>
        <w:trPr>
          <w:trHeight w:val="480" w:hRule="atLeast"/>
        </w:trPr>
        <w:tc>
          <w:tcPr>
            <w:tcW w:w="1858" w:type="dxa"/>
            <w:tcBorders>
              <w:top w:val="nil"/>
              <w:left w:val="single" w:color="auto" w:sz="4" w:space="0"/>
              <w:bottom w:val="single" w:color="auto" w:sz="4" w:space="0"/>
              <w:right w:val="single" w:color="auto" w:sz="4" w:space="0"/>
            </w:tcBorders>
            <w:shd w:val="clear" w:color="000000" w:fill="CACACA"/>
            <w:vAlign w:val="center"/>
          </w:tcPr>
          <w:p>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课程名称</w:t>
            </w:r>
          </w:p>
        </w:tc>
        <w:tc>
          <w:tcPr>
            <w:tcW w:w="7088" w:type="dxa"/>
            <w:tcBorders>
              <w:top w:val="nil"/>
              <w:left w:val="nil"/>
              <w:bottom w:val="single" w:color="auto" w:sz="4" w:space="0"/>
              <w:right w:val="single" w:color="auto" w:sz="4" w:space="0"/>
            </w:tcBorders>
            <w:shd w:val="clear" w:color="000000" w:fill="CACACA"/>
            <w:vAlign w:val="center"/>
          </w:tcPr>
          <w:p>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课程内容</w:t>
            </w:r>
          </w:p>
        </w:tc>
        <w:tc>
          <w:tcPr>
            <w:tcW w:w="850" w:type="dxa"/>
            <w:tcBorders>
              <w:top w:val="nil"/>
              <w:left w:val="nil"/>
              <w:bottom w:val="single" w:color="auto" w:sz="4" w:space="0"/>
              <w:right w:val="single" w:color="auto" w:sz="4" w:space="0"/>
            </w:tcBorders>
            <w:shd w:val="clear" w:color="000000" w:fill="CACACA"/>
            <w:vAlign w:val="bottom"/>
          </w:tcPr>
          <w:p>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课时（天）</w:t>
            </w:r>
          </w:p>
        </w:tc>
      </w:tr>
      <w:tr>
        <w:tblPrEx>
          <w:tblCellMar>
            <w:top w:w="0" w:type="dxa"/>
            <w:left w:w="108" w:type="dxa"/>
            <w:bottom w:w="0" w:type="dxa"/>
            <w:right w:w="108" w:type="dxa"/>
          </w:tblCellMar>
        </w:tblPrEx>
        <w:trPr>
          <w:trHeight w:val="420" w:hRule="atLeast"/>
        </w:trPr>
        <w:tc>
          <w:tcPr>
            <w:tcW w:w="8946" w:type="dxa"/>
            <w:gridSpan w:val="2"/>
            <w:tcBorders>
              <w:top w:val="single" w:color="auto" w:sz="4" w:space="0"/>
              <w:left w:val="single" w:color="auto" w:sz="4" w:space="0"/>
              <w:bottom w:val="single" w:color="auto" w:sz="4" w:space="0"/>
              <w:right w:val="single" w:color="000000" w:sz="4" w:space="0"/>
            </w:tcBorders>
            <w:shd w:val="clear" w:color="000000" w:fill="CACACA"/>
            <w:vAlign w:val="center"/>
          </w:tcPr>
          <w:p>
            <w:pPr>
              <w:widowControl/>
              <w:jc w:val="left"/>
              <w:rPr>
                <w:rFonts w:ascii="宋体" w:hAnsi="宋体" w:cs="宋体"/>
                <w:b/>
                <w:bCs/>
                <w:color w:val="000000"/>
                <w:kern w:val="0"/>
                <w:sz w:val="18"/>
                <w:szCs w:val="18"/>
              </w:rPr>
            </w:pPr>
            <w:r>
              <w:rPr>
                <w:rFonts w:hint="eastAsia" w:ascii="宋体" w:hAnsi="宋体" w:cs="宋体"/>
                <w:color w:val="000000"/>
                <w:kern w:val="0"/>
                <w:sz w:val="18"/>
                <w:szCs w:val="18"/>
              </w:rPr>
              <w:t>Dynamics 365 for Finance and Operations</w:t>
            </w:r>
            <w:r>
              <w:rPr>
                <w:rFonts w:hint="eastAsia" w:ascii="宋体" w:hAnsi="宋体" w:cs="宋体"/>
                <w:b/>
                <w:bCs/>
                <w:color w:val="000000"/>
                <w:kern w:val="0"/>
                <w:sz w:val="18"/>
                <w:szCs w:val="18"/>
              </w:rPr>
              <w:t>开发与扩展</w:t>
            </w:r>
          </w:p>
        </w:tc>
        <w:tc>
          <w:tcPr>
            <w:tcW w:w="850" w:type="dxa"/>
            <w:tcBorders>
              <w:top w:val="nil"/>
              <w:left w:val="nil"/>
              <w:bottom w:val="single" w:color="auto" w:sz="4" w:space="0"/>
              <w:right w:val="single" w:color="auto" w:sz="4" w:space="0"/>
            </w:tcBorders>
            <w:shd w:val="clear" w:color="000000" w:fill="CACACA"/>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780" w:hRule="atLeast"/>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架构和开发环境</w:t>
            </w:r>
          </w:p>
        </w:tc>
        <w:tc>
          <w:tcPr>
            <w:tcW w:w="7088" w:type="dxa"/>
            <w:tcBorders>
              <w:top w:val="nil"/>
              <w:left w:val="nil"/>
              <w:bottom w:val="single" w:color="auto" w:sz="4" w:space="0"/>
              <w:right w:val="single" w:color="auto" w:sz="4" w:space="0"/>
            </w:tcBorders>
            <w:shd w:val="clear" w:color="auto" w:fill="auto"/>
            <w:vAlign w:val="center"/>
          </w:tcPr>
          <w:p>
            <w:pPr>
              <w:widowControl/>
              <w:numPr>
                <w:ilvl w:val="0"/>
                <w:numId w:val="2"/>
              </w:numPr>
              <w:jc w:val="left"/>
              <w:rPr>
                <w:rFonts w:ascii="宋体" w:hAnsi="宋体" w:cs="宋体"/>
                <w:color w:val="000000"/>
                <w:kern w:val="0"/>
                <w:sz w:val="18"/>
                <w:szCs w:val="18"/>
              </w:rPr>
            </w:pPr>
            <w:r>
              <w:rPr>
                <w:rFonts w:ascii="宋体" w:hAnsi="宋体" w:cs="宋体"/>
                <w:color w:val="000000"/>
                <w:kern w:val="0"/>
                <w:sz w:val="18"/>
                <w:szCs w:val="18"/>
              </w:rPr>
              <w:t>描述 Microsoft Dynamics 365 for Finance and Operation 的架构</w:t>
            </w:r>
          </w:p>
          <w:p>
            <w:pPr>
              <w:widowControl/>
              <w:jc w:val="left"/>
              <w:rPr>
                <w:rFonts w:ascii="宋体" w:hAnsi="宋体" w:cs="宋体"/>
                <w:color w:val="000000"/>
                <w:kern w:val="0"/>
                <w:sz w:val="18"/>
                <w:szCs w:val="18"/>
              </w:rPr>
            </w:pPr>
            <w:r>
              <w:rPr>
                <w:rFonts w:ascii="宋体" w:hAnsi="宋体" w:cs="宋体"/>
                <w:color w:val="000000"/>
                <w:kern w:val="0"/>
                <w:sz w:val="18"/>
                <w:szCs w:val="18"/>
              </w:rPr>
              <w:t>描述开发环境；描述应用程序堆栈中的组件；识别云架构组件；解释服务器架构；</w:t>
            </w:r>
          </w:p>
          <w:p>
            <w:pPr>
              <w:widowControl/>
              <w:jc w:val="left"/>
              <w:rPr>
                <w:rFonts w:ascii="宋体" w:hAnsi="宋体" w:cs="宋体"/>
                <w:color w:val="000000"/>
                <w:kern w:val="0"/>
                <w:sz w:val="18"/>
                <w:szCs w:val="18"/>
              </w:rPr>
            </w:pPr>
            <w:r>
              <w:rPr>
                <w:rFonts w:ascii="宋体" w:hAnsi="宋体" w:cs="宋体"/>
                <w:color w:val="000000"/>
                <w:kern w:val="0"/>
                <w:sz w:val="18"/>
                <w:szCs w:val="18"/>
              </w:rPr>
              <w:t>描述图层架构</w:t>
            </w:r>
          </w:p>
          <w:p>
            <w:pPr>
              <w:widowControl/>
              <w:numPr>
                <w:ilvl w:val="0"/>
                <w:numId w:val="3"/>
              </w:numPr>
              <w:jc w:val="left"/>
              <w:rPr>
                <w:rFonts w:ascii="宋体" w:hAnsi="宋体" w:cs="宋体"/>
                <w:color w:val="000000"/>
                <w:kern w:val="0"/>
                <w:sz w:val="18"/>
                <w:szCs w:val="18"/>
              </w:rPr>
            </w:pPr>
            <w:r>
              <w:rPr>
                <w:rFonts w:ascii="宋体" w:hAnsi="宋体" w:cs="宋体"/>
                <w:color w:val="000000"/>
                <w:kern w:val="0"/>
                <w:sz w:val="18"/>
                <w:szCs w:val="18"/>
              </w:rPr>
              <w:t>使用 Microsoft Visual Studio 和生命周期服务（LCS）管理开发</w:t>
            </w:r>
          </w:p>
          <w:p>
            <w:pPr>
              <w:widowControl/>
              <w:jc w:val="left"/>
              <w:rPr>
                <w:rFonts w:ascii="宋体" w:hAnsi="宋体" w:cs="宋体"/>
                <w:color w:val="000000"/>
                <w:kern w:val="0"/>
                <w:sz w:val="18"/>
                <w:szCs w:val="18"/>
              </w:rPr>
            </w:pPr>
            <w:r>
              <w:rPr>
                <w:rFonts w:ascii="宋体" w:hAnsi="宋体" w:cs="宋体"/>
                <w:color w:val="000000"/>
                <w:kern w:val="0"/>
                <w:sz w:val="18"/>
                <w:szCs w:val="18"/>
              </w:rPr>
              <w:t>识别 Visual Studio 的窗口和基本导航；描述项目、模型、解决方案和软件包之间的差异和用途；描述和执行构建过程；描述 LCS 的特点；使用 LCS 部署修补程序，管理资产并完成构建过程</w:t>
            </w:r>
          </w:p>
        </w:tc>
        <w:tc>
          <w:tcPr>
            <w:tcW w:w="85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r>
      <w:tr>
        <w:tblPrEx>
          <w:tblCellMar>
            <w:top w:w="0" w:type="dxa"/>
            <w:left w:w="108" w:type="dxa"/>
            <w:bottom w:w="0" w:type="dxa"/>
            <w:right w:w="108" w:type="dxa"/>
          </w:tblCellMar>
        </w:tblPrEx>
        <w:trPr>
          <w:trHeight w:val="1035" w:hRule="atLeast"/>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18"/>
                <w:szCs w:val="18"/>
              </w:rPr>
            </w:pPr>
            <w:r>
              <w:rPr>
                <w:rFonts w:ascii="宋体" w:hAnsi="宋体" w:cs="宋体"/>
                <w:color w:val="000000"/>
                <w:kern w:val="0"/>
                <w:sz w:val="18"/>
                <w:szCs w:val="18"/>
              </w:rPr>
              <w:t>Application Explorer</w:t>
            </w:r>
            <w:r>
              <w:rPr>
                <w:rFonts w:hint="eastAsia" w:ascii="宋体" w:hAnsi="宋体" w:cs="宋体"/>
                <w:color w:val="000000"/>
                <w:kern w:val="0"/>
                <w:sz w:val="18"/>
                <w:szCs w:val="18"/>
              </w:rPr>
              <w:t xml:space="preserve">管理 </w:t>
            </w:r>
          </w:p>
        </w:tc>
        <w:tc>
          <w:tcPr>
            <w:tcW w:w="7088" w:type="dxa"/>
            <w:tcBorders>
              <w:top w:val="nil"/>
              <w:left w:val="nil"/>
              <w:bottom w:val="single" w:color="auto" w:sz="4" w:space="0"/>
              <w:right w:val="single" w:color="auto" w:sz="4" w:space="0"/>
            </w:tcBorders>
            <w:shd w:val="clear" w:color="auto" w:fill="auto"/>
            <w:vAlign w:val="center"/>
          </w:tcPr>
          <w:p>
            <w:pPr>
              <w:widowControl/>
              <w:numPr>
                <w:ilvl w:val="0"/>
                <w:numId w:val="4"/>
              </w:numPr>
              <w:jc w:val="left"/>
              <w:rPr>
                <w:rFonts w:ascii="宋体" w:hAnsi="宋体" w:cs="宋体"/>
                <w:color w:val="000000"/>
                <w:kern w:val="0"/>
                <w:sz w:val="18"/>
                <w:szCs w:val="18"/>
              </w:rPr>
            </w:pPr>
            <w:r>
              <w:rPr>
                <w:rFonts w:ascii="宋体" w:hAnsi="宋体" w:cs="宋体"/>
                <w:color w:val="000000"/>
                <w:kern w:val="0"/>
                <w:sz w:val="18"/>
                <w:szCs w:val="18"/>
              </w:rPr>
              <w:t>创建和管理标签和资源</w:t>
            </w:r>
          </w:p>
          <w:p>
            <w:pPr>
              <w:widowControl/>
              <w:jc w:val="left"/>
              <w:rPr>
                <w:rFonts w:ascii="宋体" w:hAnsi="宋体" w:cs="宋体"/>
                <w:color w:val="000000"/>
                <w:kern w:val="0"/>
                <w:sz w:val="18"/>
                <w:szCs w:val="18"/>
              </w:rPr>
            </w:pPr>
            <w:r>
              <w:rPr>
                <w:rFonts w:ascii="宋体" w:hAnsi="宋体" w:cs="宋体"/>
                <w:color w:val="000000"/>
                <w:kern w:val="0"/>
                <w:sz w:val="18"/>
                <w:szCs w:val="18"/>
              </w:rPr>
              <w:t>创建新的标签文件；创建和使用标签；描述标签的元素和用途；确定标签的最佳做法；确定资源的用途</w:t>
            </w:r>
          </w:p>
          <w:p>
            <w:pPr>
              <w:widowControl/>
              <w:numPr>
                <w:ilvl w:val="0"/>
                <w:numId w:val="5"/>
              </w:numPr>
              <w:jc w:val="left"/>
              <w:rPr>
                <w:rFonts w:ascii="宋体" w:hAnsi="宋体" w:cs="宋体"/>
                <w:color w:val="000000"/>
                <w:kern w:val="0"/>
                <w:sz w:val="18"/>
                <w:szCs w:val="18"/>
              </w:rPr>
            </w:pPr>
            <w:r>
              <w:rPr>
                <w:rFonts w:ascii="宋体" w:hAnsi="宋体" w:cs="宋体"/>
                <w:color w:val="000000"/>
                <w:kern w:val="0"/>
                <w:sz w:val="18"/>
                <w:szCs w:val="18"/>
              </w:rPr>
              <w:t>创建和管理数据类型</w:t>
            </w:r>
          </w:p>
          <w:p>
            <w:pPr>
              <w:widowControl/>
              <w:jc w:val="left"/>
              <w:rPr>
                <w:rFonts w:ascii="宋体" w:hAnsi="宋体" w:cs="宋体"/>
                <w:color w:val="000000"/>
                <w:kern w:val="0"/>
                <w:sz w:val="18"/>
                <w:szCs w:val="18"/>
              </w:rPr>
            </w:pPr>
            <w:r>
              <w:rPr>
                <w:rFonts w:ascii="宋体" w:hAnsi="宋体" w:cs="宋体"/>
                <w:color w:val="000000"/>
                <w:kern w:val="0"/>
                <w:sz w:val="18"/>
                <w:szCs w:val="18"/>
              </w:rPr>
              <w:t>描述基本枚举的用途；创建新的基本枚举；确定基本枚举的最佳做法；描述原始和扩展数据类型；创建新的扩展数据类型；识别扩展数据类型的关键属性；实施扩展数据类型的最佳做法</w:t>
            </w:r>
          </w:p>
          <w:p>
            <w:pPr>
              <w:widowControl/>
              <w:numPr>
                <w:ilvl w:val="0"/>
                <w:numId w:val="5"/>
              </w:numPr>
              <w:jc w:val="left"/>
              <w:rPr>
                <w:rFonts w:ascii="宋体" w:hAnsi="宋体" w:cs="宋体"/>
                <w:color w:val="000000"/>
                <w:kern w:val="0"/>
                <w:sz w:val="18"/>
                <w:szCs w:val="18"/>
              </w:rPr>
            </w:pPr>
            <w:r>
              <w:rPr>
                <w:rFonts w:ascii="宋体" w:hAnsi="宋体" w:cs="宋体"/>
                <w:color w:val="000000"/>
                <w:kern w:val="0"/>
                <w:sz w:val="18"/>
                <w:szCs w:val="18"/>
              </w:rPr>
              <w:t>创建和管理表</w:t>
            </w:r>
          </w:p>
          <w:p>
            <w:pPr>
              <w:widowControl/>
              <w:jc w:val="left"/>
              <w:rPr>
                <w:rFonts w:ascii="宋体" w:hAnsi="宋体" w:cs="宋体"/>
                <w:color w:val="000000"/>
                <w:kern w:val="0"/>
                <w:sz w:val="18"/>
                <w:szCs w:val="18"/>
              </w:rPr>
            </w:pPr>
            <w:r>
              <w:rPr>
                <w:rFonts w:ascii="宋体" w:hAnsi="宋体" w:cs="宋体"/>
                <w:color w:val="000000"/>
                <w:kern w:val="0"/>
                <w:sz w:val="18"/>
                <w:szCs w:val="18"/>
              </w:rPr>
              <w:t>识别表的组件；描述不同类型的表关系；描述不同类型的表索引；实施表、关系和索引的最佳做法</w:t>
            </w:r>
          </w:p>
          <w:p>
            <w:pPr>
              <w:widowControl/>
              <w:jc w:val="left"/>
              <w:rPr>
                <w:rFonts w:ascii="宋体" w:hAnsi="宋体" w:cs="宋体"/>
                <w:color w:val="000000"/>
                <w:kern w:val="0"/>
                <w:sz w:val="18"/>
                <w:szCs w:val="18"/>
              </w:rPr>
            </w:pPr>
          </w:p>
        </w:tc>
        <w:tc>
          <w:tcPr>
            <w:tcW w:w="85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r>
      <w:tr>
        <w:tblPrEx>
          <w:tblCellMar>
            <w:top w:w="0" w:type="dxa"/>
            <w:left w:w="108" w:type="dxa"/>
            <w:bottom w:w="0" w:type="dxa"/>
            <w:right w:w="108" w:type="dxa"/>
          </w:tblCellMar>
        </w:tblPrEx>
        <w:trPr>
          <w:trHeight w:val="495" w:hRule="atLeast"/>
        </w:trPr>
        <w:tc>
          <w:tcPr>
            <w:tcW w:w="185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X++开发</w:t>
            </w:r>
          </w:p>
        </w:tc>
        <w:tc>
          <w:tcPr>
            <w:tcW w:w="7088" w:type="dxa"/>
            <w:tcBorders>
              <w:top w:val="single" w:color="auto" w:sz="4" w:space="0"/>
              <w:left w:val="nil"/>
              <w:bottom w:val="single" w:color="auto" w:sz="4" w:space="0"/>
              <w:right w:val="single" w:color="auto" w:sz="4" w:space="0"/>
            </w:tcBorders>
            <w:shd w:val="clear" w:color="auto" w:fill="auto"/>
            <w:vAlign w:val="center"/>
          </w:tcPr>
          <w:p>
            <w:pPr>
              <w:widowControl/>
              <w:numPr>
                <w:ilvl w:val="0"/>
                <w:numId w:val="5"/>
              </w:numPr>
              <w:jc w:val="left"/>
              <w:rPr>
                <w:rFonts w:ascii="宋体" w:hAnsi="宋体" w:cs="宋体"/>
                <w:color w:val="000000"/>
                <w:kern w:val="0"/>
                <w:sz w:val="18"/>
                <w:szCs w:val="18"/>
              </w:rPr>
            </w:pPr>
            <w:r>
              <w:rPr>
                <w:rFonts w:ascii="宋体" w:hAnsi="宋体" w:cs="宋体"/>
                <w:color w:val="000000"/>
                <w:kern w:val="0"/>
                <w:sz w:val="18"/>
                <w:szCs w:val="18"/>
              </w:rPr>
              <w:t>描述 X ++ 环境</w:t>
            </w:r>
          </w:p>
          <w:p>
            <w:pPr>
              <w:widowControl/>
              <w:jc w:val="left"/>
              <w:rPr>
                <w:rFonts w:ascii="宋体" w:hAnsi="宋体" w:cs="宋体"/>
                <w:color w:val="000000"/>
                <w:kern w:val="0"/>
                <w:sz w:val="18"/>
                <w:szCs w:val="18"/>
              </w:rPr>
            </w:pPr>
            <w:r>
              <w:rPr>
                <w:rFonts w:ascii="宋体" w:hAnsi="宋体" w:cs="宋体"/>
                <w:color w:val="000000"/>
                <w:kern w:val="0"/>
                <w:sz w:val="18"/>
                <w:szCs w:val="18"/>
              </w:rPr>
              <w:t>识别 X ++ 的特征；使用代码编辑器编写 X ++；描述 IntelliSense 的功能；识别 X ++ 的基本语法；描述 X++ 中常见关键词的使用；描述调试器的功能；使用比较工具；使用最佳实践检查程序</w:t>
            </w:r>
          </w:p>
          <w:p>
            <w:pPr>
              <w:widowControl/>
              <w:numPr>
                <w:ilvl w:val="0"/>
                <w:numId w:val="5"/>
              </w:numPr>
              <w:jc w:val="left"/>
              <w:rPr>
                <w:rFonts w:ascii="宋体" w:hAnsi="宋体" w:cs="宋体"/>
                <w:color w:val="000000"/>
                <w:kern w:val="0"/>
                <w:sz w:val="18"/>
                <w:szCs w:val="18"/>
              </w:rPr>
            </w:pPr>
            <w:r>
              <w:rPr>
                <w:rFonts w:ascii="宋体" w:hAnsi="宋体" w:cs="宋体"/>
                <w:color w:val="000000"/>
                <w:kern w:val="0"/>
                <w:sz w:val="18"/>
                <w:szCs w:val="18"/>
              </w:rPr>
              <w:t>使用 X++ 控制语句</w:t>
            </w:r>
          </w:p>
          <w:p>
            <w:pPr>
              <w:widowControl/>
              <w:jc w:val="left"/>
              <w:rPr>
                <w:rFonts w:ascii="宋体" w:hAnsi="宋体" w:cs="宋体"/>
                <w:color w:val="000000"/>
                <w:kern w:val="0"/>
                <w:sz w:val="18"/>
                <w:szCs w:val="18"/>
              </w:rPr>
            </w:pPr>
            <w:r>
              <w:rPr>
                <w:rFonts w:ascii="宋体" w:hAnsi="宋体" w:cs="宋体"/>
                <w:color w:val="000000"/>
                <w:kern w:val="0"/>
                <w:sz w:val="18"/>
                <w:szCs w:val="18"/>
              </w:rPr>
              <w:t>使用变量、运算符、条件语句和循环；使用内置函数；使用通信工具</w:t>
            </w:r>
          </w:p>
          <w:p>
            <w:pPr>
              <w:widowControl/>
              <w:jc w:val="left"/>
              <w:rPr>
                <w:rFonts w:ascii="宋体" w:hAnsi="宋体" w:cs="宋体"/>
                <w:color w:val="000000"/>
                <w:kern w:val="0"/>
                <w:sz w:val="18"/>
                <w:szCs w:val="18"/>
              </w:rPr>
            </w:pPr>
            <w:r>
              <w:rPr>
                <w:rFonts w:ascii="宋体" w:hAnsi="宋体" w:cs="宋体"/>
                <w:color w:val="000000"/>
                <w:kern w:val="0"/>
                <w:sz w:val="18"/>
                <w:szCs w:val="18"/>
              </w:rPr>
              <w:t>使用类</w:t>
            </w:r>
          </w:p>
          <w:p>
            <w:pPr>
              <w:widowControl/>
              <w:jc w:val="left"/>
              <w:rPr>
                <w:rFonts w:ascii="宋体" w:hAnsi="宋体" w:cs="宋体"/>
                <w:color w:val="000000"/>
                <w:kern w:val="0"/>
                <w:sz w:val="18"/>
                <w:szCs w:val="18"/>
              </w:rPr>
            </w:pPr>
            <w:r>
              <w:rPr>
                <w:rFonts w:ascii="宋体" w:hAnsi="宋体" w:cs="宋体"/>
                <w:color w:val="000000"/>
                <w:kern w:val="0"/>
                <w:sz w:val="18"/>
                <w:szCs w:val="18"/>
              </w:rPr>
              <w:t>创建新类；描述范围事件和参数；描述继承；识别编写 X ++ 时的关键最佳做法</w:t>
            </w:r>
          </w:p>
          <w:p>
            <w:pPr>
              <w:widowControl/>
              <w:numPr>
                <w:ilvl w:val="0"/>
                <w:numId w:val="5"/>
              </w:numPr>
              <w:jc w:val="left"/>
              <w:rPr>
                <w:rFonts w:ascii="宋体" w:hAnsi="宋体" w:cs="宋体"/>
                <w:color w:val="000000"/>
                <w:kern w:val="0"/>
                <w:sz w:val="18"/>
                <w:szCs w:val="18"/>
              </w:rPr>
            </w:pPr>
            <w:r>
              <w:rPr>
                <w:rFonts w:ascii="宋体" w:hAnsi="宋体" w:cs="宋体"/>
                <w:color w:val="000000"/>
                <w:kern w:val="0"/>
                <w:sz w:val="18"/>
                <w:szCs w:val="18"/>
              </w:rPr>
              <w:t>用 X ++ 操纵数据</w:t>
            </w:r>
          </w:p>
          <w:p>
            <w:pPr>
              <w:widowControl/>
              <w:jc w:val="left"/>
              <w:rPr>
                <w:rFonts w:ascii="宋体" w:hAnsi="宋体" w:cs="宋体"/>
                <w:color w:val="000000"/>
                <w:kern w:val="0"/>
                <w:sz w:val="18"/>
                <w:szCs w:val="18"/>
              </w:rPr>
            </w:pPr>
            <w:r>
              <w:rPr>
                <w:rFonts w:ascii="宋体" w:hAnsi="宋体" w:cs="宋体"/>
                <w:color w:val="000000"/>
                <w:kern w:val="0"/>
                <w:sz w:val="18"/>
                <w:szCs w:val="18"/>
              </w:rPr>
              <w:t>识别数据检索的技术；解释事务完整性检查的用途；使用 X ++ 插入、更新和删除记录；识别使用 X ++ 处理数据的最佳做法</w:t>
            </w:r>
          </w:p>
          <w:p>
            <w:pPr>
              <w:widowControl/>
              <w:numPr>
                <w:ilvl w:val="0"/>
                <w:numId w:val="5"/>
              </w:numPr>
              <w:jc w:val="left"/>
              <w:rPr>
                <w:rFonts w:ascii="宋体" w:hAnsi="宋体" w:cs="宋体"/>
                <w:color w:val="000000"/>
                <w:kern w:val="0"/>
                <w:sz w:val="18"/>
                <w:szCs w:val="18"/>
              </w:rPr>
            </w:pPr>
            <w:r>
              <w:rPr>
                <w:rFonts w:ascii="宋体" w:hAnsi="宋体" w:cs="宋体"/>
                <w:color w:val="000000"/>
                <w:kern w:val="0"/>
                <w:sz w:val="18"/>
                <w:szCs w:val="18"/>
              </w:rPr>
              <w:t>在 X ++ 中管理异常</w:t>
            </w:r>
          </w:p>
          <w:p>
            <w:pPr>
              <w:widowControl/>
              <w:jc w:val="left"/>
              <w:rPr>
                <w:rFonts w:hint="eastAsia" w:ascii="宋体" w:hAnsi="宋体" w:cs="宋体"/>
                <w:color w:val="000000"/>
                <w:kern w:val="0"/>
                <w:sz w:val="18"/>
                <w:szCs w:val="18"/>
              </w:rPr>
            </w:pPr>
            <w:r>
              <w:rPr>
                <w:rFonts w:ascii="宋体" w:hAnsi="宋体" w:cs="宋体"/>
                <w:color w:val="000000"/>
                <w:kern w:val="0"/>
                <w:sz w:val="18"/>
                <w:szCs w:val="18"/>
              </w:rPr>
              <w:t>识别异常类型；使用 try/catch 语句；描述乐观并发控制的功能；描述使用 X ++ 处理异常的最佳做法</w:t>
            </w:r>
          </w:p>
        </w:tc>
        <w:tc>
          <w:tcPr>
            <w:tcW w:w="850" w:type="dxa"/>
            <w:tcBorders>
              <w:top w:val="nil"/>
              <w:left w:val="single" w:color="auto" w:sz="4" w:space="0"/>
              <w:bottom w:val="single" w:color="000000" w:sz="4" w:space="0"/>
              <w:right w:val="single" w:color="auto" w:sz="4" w:space="0"/>
            </w:tcBorders>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w:t>
            </w:r>
          </w:p>
        </w:tc>
      </w:tr>
      <w:tr>
        <w:tblPrEx>
          <w:tblCellMar>
            <w:top w:w="0" w:type="dxa"/>
            <w:left w:w="108" w:type="dxa"/>
            <w:bottom w:w="0" w:type="dxa"/>
            <w:right w:w="108" w:type="dxa"/>
          </w:tblCellMar>
        </w:tblPrEx>
        <w:trPr>
          <w:trHeight w:val="540" w:hRule="atLeast"/>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管理用户界面和开发人员安全</w:t>
            </w:r>
          </w:p>
        </w:tc>
        <w:tc>
          <w:tcPr>
            <w:tcW w:w="7088" w:type="dxa"/>
            <w:tcBorders>
              <w:top w:val="nil"/>
              <w:left w:val="nil"/>
              <w:bottom w:val="single" w:color="auto" w:sz="4" w:space="0"/>
              <w:right w:val="single" w:color="auto" w:sz="4" w:space="0"/>
            </w:tcBorders>
            <w:shd w:val="clear" w:color="auto" w:fill="auto"/>
            <w:vAlign w:val="center"/>
          </w:tcPr>
          <w:p>
            <w:pPr>
              <w:widowControl/>
              <w:numPr>
                <w:ilvl w:val="0"/>
                <w:numId w:val="5"/>
              </w:numPr>
              <w:jc w:val="left"/>
              <w:rPr>
                <w:rFonts w:ascii="宋体" w:hAnsi="宋体" w:cs="宋体"/>
                <w:color w:val="000000"/>
                <w:kern w:val="0"/>
                <w:sz w:val="18"/>
                <w:szCs w:val="18"/>
              </w:rPr>
            </w:pPr>
            <w:r>
              <w:rPr>
                <w:rFonts w:ascii="宋体" w:hAnsi="宋体" w:cs="宋体"/>
                <w:color w:val="000000"/>
                <w:kern w:val="0"/>
                <w:sz w:val="18"/>
                <w:szCs w:val="18"/>
              </w:rPr>
              <w:t>管理用户界面</w:t>
            </w:r>
          </w:p>
          <w:p>
            <w:pPr>
              <w:widowControl/>
              <w:jc w:val="left"/>
              <w:rPr>
                <w:rFonts w:ascii="宋体" w:hAnsi="宋体" w:cs="宋体"/>
                <w:color w:val="000000"/>
                <w:kern w:val="0"/>
                <w:sz w:val="18"/>
                <w:szCs w:val="18"/>
              </w:rPr>
            </w:pPr>
            <w:r>
              <w:rPr>
                <w:rFonts w:ascii="宋体" w:hAnsi="宋体" w:cs="宋体"/>
                <w:color w:val="000000"/>
                <w:kern w:val="0"/>
                <w:sz w:val="18"/>
                <w:szCs w:val="18"/>
              </w:rPr>
              <w:t>识别各种窗体模式的组件；识别共同窗体模式和子模式；识别窗体元素的关键属性；应用和验证窗体模式；描述磁贴的用途；描述如何使用窗体联接数据；实施窗体开发的最佳做法</w:t>
            </w:r>
          </w:p>
          <w:p>
            <w:pPr>
              <w:widowControl/>
              <w:numPr>
                <w:ilvl w:val="0"/>
                <w:numId w:val="5"/>
              </w:numPr>
              <w:jc w:val="left"/>
              <w:rPr>
                <w:rFonts w:ascii="宋体" w:hAnsi="宋体" w:cs="宋体"/>
                <w:color w:val="000000"/>
                <w:kern w:val="0"/>
                <w:sz w:val="18"/>
                <w:szCs w:val="18"/>
              </w:rPr>
            </w:pPr>
            <w:r>
              <w:rPr>
                <w:rFonts w:ascii="宋体" w:hAnsi="宋体" w:cs="宋体"/>
                <w:color w:val="000000"/>
                <w:kern w:val="0"/>
                <w:sz w:val="18"/>
                <w:szCs w:val="18"/>
              </w:rPr>
              <w:t>管理用户导航</w:t>
            </w:r>
          </w:p>
          <w:p>
            <w:pPr>
              <w:widowControl/>
              <w:jc w:val="left"/>
              <w:rPr>
                <w:rFonts w:ascii="宋体" w:hAnsi="宋体" w:cs="宋体"/>
                <w:color w:val="000000"/>
                <w:kern w:val="0"/>
                <w:sz w:val="18"/>
                <w:szCs w:val="18"/>
              </w:rPr>
            </w:pPr>
            <w:r>
              <w:rPr>
                <w:rFonts w:ascii="宋体" w:hAnsi="宋体" w:cs="宋体"/>
                <w:color w:val="000000"/>
                <w:kern w:val="0"/>
                <w:sz w:val="18"/>
                <w:szCs w:val="18"/>
              </w:rPr>
              <w:t>识别菜单项的类型；创建菜单项和菜单；识别菜单项的关键属性；描述菜单项的用途；实施菜单和菜单项的最佳做法</w:t>
            </w:r>
          </w:p>
          <w:p>
            <w:pPr>
              <w:widowControl/>
              <w:numPr>
                <w:ilvl w:val="0"/>
                <w:numId w:val="5"/>
              </w:numPr>
              <w:jc w:val="left"/>
              <w:rPr>
                <w:rFonts w:ascii="宋体" w:hAnsi="宋体" w:cs="宋体"/>
                <w:color w:val="000000"/>
                <w:kern w:val="0"/>
                <w:sz w:val="18"/>
                <w:szCs w:val="18"/>
              </w:rPr>
            </w:pPr>
            <w:r>
              <w:rPr>
                <w:rFonts w:ascii="宋体" w:hAnsi="宋体" w:cs="宋体"/>
                <w:color w:val="000000"/>
                <w:kern w:val="0"/>
                <w:sz w:val="18"/>
                <w:szCs w:val="18"/>
              </w:rPr>
              <w:t>在开发环境中管理安全</w:t>
            </w:r>
          </w:p>
          <w:p>
            <w:pPr>
              <w:widowControl/>
              <w:jc w:val="left"/>
              <w:rPr>
                <w:rFonts w:ascii="宋体" w:hAnsi="宋体" w:cs="宋体"/>
                <w:color w:val="000000"/>
                <w:kern w:val="0"/>
                <w:sz w:val="18"/>
                <w:szCs w:val="18"/>
              </w:rPr>
            </w:pPr>
            <w:r>
              <w:rPr>
                <w:rFonts w:ascii="宋体" w:hAnsi="宋体" w:cs="宋体"/>
                <w:color w:val="000000"/>
                <w:kern w:val="0"/>
                <w:sz w:val="18"/>
                <w:szCs w:val="18"/>
              </w:rPr>
              <w:t>描述安全体系结构；描述基于角色的安全性的组件；在应用程序资源管理器中创建新的权限、职责和角色；描述可扩展的数据安全框架</w:t>
            </w:r>
          </w:p>
          <w:p>
            <w:pPr>
              <w:widowControl/>
              <w:jc w:val="left"/>
              <w:rPr>
                <w:rFonts w:ascii="宋体" w:hAnsi="宋体" w:cs="宋体"/>
                <w:color w:val="000000"/>
                <w:kern w:val="0"/>
                <w:sz w:val="18"/>
                <w:szCs w:val="18"/>
              </w:rPr>
            </w:pPr>
          </w:p>
        </w:tc>
        <w:tc>
          <w:tcPr>
            <w:tcW w:w="850" w:type="dxa"/>
            <w:tcBorders>
              <w:top w:val="nil"/>
              <w:left w:val="single" w:color="auto" w:sz="4" w:space="0"/>
              <w:bottom w:val="single" w:color="000000" w:sz="4" w:space="0"/>
              <w:right w:val="single" w:color="auto" w:sz="4" w:space="0"/>
            </w:tcBorders>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w:t>
            </w:r>
          </w:p>
        </w:tc>
      </w:tr>
    </w:tbl>
    <w:p>
      <w:pPr>
        <w:jc w:val="left"/>
        <w:rPr>
          <w:rFonts w:hint="eastAsia" w:ascii="宋体" w:hAnsi="宋体"/>
          <w:color w:val="000000"/>
          <w:sz w:val="18"/>
          <w:szCs w:val="18"/>
        </w:rPr>
      </w:pPr>
      <w:r>
        <w:rPr>
          <w:rFonts w:hint="eastAsia" w:ascii="宋体" w:hAnsi="宋体"/>
          <w:color w:val="000000"/>
          <w:sz w:val="18"/>
          <w:szCs w:val="18"/>
        </w:rPr>
        <w:t>注：主办单位保留调整权利。</w:t>
      </w:r>
    </w:p>
    <w:p>
      <w:pPr>
        <w:jc w:val="left"/>
        <w:rPr>
          <w:rFonts w:hint="eastAsia" w:ascii="宋体" w:hAnsi="宋体"/>
          <w:b/>
          <w:color w:val="000000"/>
          <w:sz w:val="18"/>
          <w:szCs w:val="18"/>
        </w:rPr>
      </w:pPr>
      <w:r>
        <w:rPr>
          <w:rFonts w:hint="eastAsia" w:ascii="宋体" w:hAnsi="宋体"/>
          <w:b/>
          <w:color w:val="000000"/>
          <w:sz w:val="18"/>
          <w:szCs w:val="18"/>
        </w:rPr>
        <w:t xml:space="preserve">可预约安排微软Dynamics 365 相应的考试成为微软MCP: </w:t>
      </w:r>
    </w:p>
    <w:p>
      <w:pPr>
        <w:numPr>
          <w:ilvl w:val="1"/>
          <w:numId w:val="6"/>
        </w:numPr>
      </w:pPr>
      <w:r>
        <w:fldChar w:fldCharType="begin"/>
      </w:r>
      <w:r>
        <w:instrText xml:space="preserve"> HYPERLINK "https://www.microsoft.com/zh-cn/learning/exam-mb6-894.aspx" </w:instrText>
      </w:r>
      <w:r>
        <w:fldChar w:fldCharType="separate"/>
      </w:r>
      <w:r>
        <w:rPr>
          <w:rStyle w:val="4"/>
        </w:rPr>
        <w:t>MB6-894: Development, Extensions and Deployment for Microsoft Dynamics 365 for Finance and Operations</w:t>
      </w:r>
      <w:r>
        <w:rPr>
          <w:rStyle w:val="4"/>
        </w:rPr>
        <w:fldChar w:fldCharType="end"/>
      </w:r>
    </w:p>
    <w:p>
      <w:pPr>
        <w:numPr>
          <w:ilvl w:val="1"/>
          <w:numId w:val="6"/>
        </w:numPr>
        <w:rPr>
          <w:rStyle w:val="4"/>
        </w:rPr>
      </w:pPr>
      <w:r>
        <w:fldChar w:fldCharType="begin"/>
      </w:r>
      <w:r>
        <w:instrText xml:space="preserve"> HYPERLINK "https://www.microsoft.com/zh-cn/learning/exam-mb6-895.aspx" </w:instrText>
      </w:r>
      <w:r>
        <w:fldChar w:fldCharType="separate"/>
      </w:r>
      <w:r>
        <w:rPr>
          <w:rStyle w:val="4"/>
        </w:rPr>
        <w:t>MB6-895: Financial Management in Microsoft Dynamics 365 for Finance and Operations</w:t>
      </w:r>
      <w:r>
        <w:rPr>
          <w:rStyle w:val="4"/>
        </w:rPr>
        <w:fldChar w:fldCharType="end"/>
      </w:r>
    </w:p>
    <w:p>
      <w:pPr>
        <w:numPr>
          <w:ilvl w:val="1"/>
          <w:numId w:val="6"/>
        </w:numPr>
        <w:rPr>
          <w:rStyle w:val="4"/>
        </w:rPr>
      </w:pPr>
      <w:r>
        <w:fldChar w:fldCharType="begin"/>
      </w:r>
      <w:r>
        <w:instrText xml:space="preserve"> HYPERLINK "https://www.microsoft.com/zh-cn/learning/exam-mb6-896.aspx" </w:instrText>
      </w:r>
      <w:r>
        <w:fldChar w:fldCharType="separate"/>
      </w:r>
      <w:r>
        <w:rPr>
          <w:rStyle w:val="4"/>
        </w:rPr>
        <w:t>MB6-896: Distribution and Trade in Microsoft Dynamics 365 for Finance and Operations</w:t>
      </w:r>
      <w:r>
        <w:rPr>
          <w:rStyle w:val="4"/>
        </w:rPr>
        <w:fldChar w:fldCharType="end"/>
      </w:r>
    </w:p>
    <w:p>
      <w:pPr>
        <w:numPr>
          <w:ilvl w:val="1"/>
          <w:numId w:val="6"/>
        </w:numPr>
        <w:rPr>
          <w:rStyle w:val="4"/>
        </w:rPr>
      </w:pPr>
      <w:r>
        <w:fldChar w:fldCharType="begin"/>
      </w:r>
      <w:r>
        <w:instrText xml:space="preserve"> HYPERLINK "https://www.microsoft.com/zh-cn/learning/exam-mb6-897.aspx" </w:instrText>
      </w:r>
      <w:r>
        <w:fldChar w:fldCharType="separate"/>
      </w:r>
      <w:r>
        <w:rPr>
          <w:rStyle w:val="4"/>
        </w:rPr>
        <w:t>MB6-897: Microsoft Dynamics 365 for Retail</w:t>
      </w:r>
      <w:r>
        <w:rPr>
          <w:rStyle w:val="4"/>
        </w:rPr>
        <w:fldChar w:fldCharType="end"/>
      </w:r>
    </w:p>
    <w:p>
      <w:pPr>
        <w:numPr>
          <w:ilvl w:val="1"/>
          <w:numId w:val="6"/>
        </w:numPr>
        <w:rPr>
          <w:rStyle w:val="4"/>
        </w:rPr>
      </w:pPr>
      <w:r>
        <w:fldChar w:fldCharType="begin"/>
      </w:r>
      <w:r>
        <w:instrText xml:space="preserve"> HYPERLINK "https://www.microsoft.com/zh-cn/learning/exam-mb2-715.aspx" </w:instrText>
      </w:r>
      <w:r>
        <w:fldChar w:fldCharType="separate"/>
      </w:r>
      <w:r>
        <w:rPr>
          <w:rStyle w:val="4"/>
        </w:rPr>
        <w:t>MB2-715: Microsoft Dynamics 365 customer engagement Online Deployment</w:t>
      </w:r>
      <w:r>
        <w:rPr>
          <w:rStyle w:val="4"/>
        </w:rPr>
        <w:fldChar w:fldCharType="end"/>
      </w:r>
    </w:p>
    <w:p>
      <w:pPr>
        <w:numPr>
          <w:ilvl w:val="1"/>
          <w:numId w:val="6"/>
        </w:numPr>
        <w:rPr>
          <w:rStyle w:val="4"/>
        </w:rPr>
      </w:pPr>
      <w:r>
        <w:fldChar w:fldCharType="begin"/>
      </w:r>
      <w:r>
        <w:instrText xml:space="preserve"> HYPERLINK "https://www.microsoft.com/zh-cn/learning/exam-mb2-716.aspx" </w:instrText>
      </w:r>
      <w:r>
        <w:fldChar w:fldCharType="separate"/>
      </w:r>
      <w:r>
        <w:rPr>
          <w:rStyle w:val="4"/>
        </w:rPr>
        <w:t>MB2-716: Microsoft Dynamics 365 Customization and Configuration</w:t>
      </w:r>
      <w:r>
        <w:rPr>
          <w:rStyle w:val="4"/>
        </w:rPr>
        <w:fldChar w:fldCharType="end"/>
      </w:r>
    </w:p>
    <w:p>
      <w:pPr>
        <w:numPr>
          <w:ilvl w:val="1"/>
          <w:numId w:val="6"/>
        </w:numPr>
        <w:rPr>
          <w:rStyle w:val="4"/>
        </w:rPr>
      </w:pPr>
      <w:r>
        <w:fldChar w:fldCharType="begin"/>
      </w:r>
      <w:r>
        <w:instrText xml:space="preserve"> HYPERLINK "https://www.microsoft.com/zh-cn/learning/exam-mb2-717.aspx" </w:instrText>
      </w:r>
      <w:r>
        <w:fldChar w:fldCharType="separate"/>
      </w:r>
      <w:r>
        <w:rPr>
          <w:rStyle w:val="4"/>
        </w:rPr>
        <w:t>MB2-717: Microsoft Dynamics 365 for Sales</w:t>
      </w:r>
      <w:r>
        <w:rPr>
          <w:rStyle w:val="4"/>
        </w:rPr>
        <w:fldChar w:fldCharType="end"/>
      </w:r>
    </w:p>
    <w:p>
      <w:pPr>
        <w:numPr>
          <w:ilvl w:val="1"/>
          <w:numId w:val="6"/>
        </w:numPr>
        <w:rPr>
          <w:rStyle w:val="4"/>
        </w:rPr>
      </w:pPr>
      <w:r>
        <w:fldChar w:fldCharType="begin"/>
      </w:r>
      <w:r>
        <w:instrText xml:space="preserve"> HYPERLINK "https://www.microsoft.com/zh-cn/learning/exam-mb2-718.aspx" </w:instrText>
      </w:r>
      <w:r>
        <w:fldChar w:fldCharType="separate"/>
      </w:r>
      <w:r>
        <w:rPr>
          <w:rStyle w:val="4"/>
        </w:rPr>
        <w:t>MB2-718: Microsoft Dynamics 365 for Customer Service</w:t>
      </w:r>
      <w:r>
        <w:rPr>
          <w:rStyle w:val="4"/>
        </w:rPr>
        <w:fldChar w:fldCharType="end"/>
      </w:r>
    </w:p>
    <w:p>
      <w:pPr>
        <w:rPr>
          <w:rStyle w:val="4"/>
        </w:rPr>
      </w:pPr>
      <w:r>
        <w:fldChar w:fldCharType="begin"/>
      </w:r>
      <w:r>
        <w:instrText xml:space="preserve"> HYPERLINK "https://www.microsoft.com/zh-cn/learning/exam-mb2-877.aspx" </w:instrText>
      </w:r>
      <w:r>
        <w:fldChar w:fldCharType="separate"/>
      </w:r>
      <w:r>
        <w:rPr>
          <w:rStyle w:val="4"/>
        </w:rPr>
        <w:t>MB2-877: Microsoft Dynamics 365 for Field Service</w:t>
      </w:r>
      <w:r>
        <w:rPr>
          <w:rStyle w:val="4"/>
        </w:rPr>
        <w:fldChar w:fldCharType="end"/>
      </w: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Pr>
      </w:pPr>
    </w:p>
    <w:p>
      <w:pPr>
        <w:rPr>
          <w:rStyle w:val="4"/>
          <w:rFonts w:hint="eastAsia"/>
        </w:rPr>
      </w:pPr>
    </w:p>
    <w:p>
      <w:pPr>
        <w:rPr>
          <w:rStyle w:val="4"/>
          <w:rFonts w:hint="eastAsia"/>
        </w:rPr>
      </w:pPr>
    </w:p>
    <w:p>
      <w:pPr>
        <w:ind w:firstLine="643" w:firstLineChars="200"/>
        <w:rPr>
          <w:rFonts w:hint="eastAsia" w:ascii="宋体" w:hAnsi="宋体"/>
          <w:b/>
          <w:bCs/>
          <w:color w:val="7030A0"/>
          <w:kern w:val="0"/>
          <w:sz w:val="32"/>
          <w:szCs w:val="32"/>
        </w:rPr>
      </w:pPr>
      <w:r>
        <w:rPr>
          <w:rFonts w:hint="eastAsia" w:ascii="宋体" w:hAnsi="宋体"/>
          <w:b/>
          <w:bCs/>
          <w:color w:val="7030A0"/>
          <w:kern w:val="0"/>
          <w:sz w:val="32"/>
          <w:szCs w:val="32"/>
        </w:rPr>
        <w:t>微软Dynamics 365 财务和运营高级研修班报名表</w:t>
      </w:r>
    </w:p>
    <w:p>
      <w:pPr>
        <w:rPr>
          <w:rStyle w:val="4"/>
          <w:rFonts w:hint="eastAsia"/>
        </w:rPr>
      </w:pPr>
    </w:p>
    <w:p>
      <w:pPr>
        <w:rPr>
          <w:rStyle w:val="4"/>
          <w:rFonts w:hint="eastAsia"/>
        </w:rPr>
      </w:pPr>
    </w:p>
    <w:tbl>
      <w:tblPr>
        <w:tblStyle w:val="2"/>
        <w:tblW w:w="0" w:type="auto"/>
        <w:tblInd w:w="113"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435"/>
        <w:gridCol w:w="898"/>
        <w:gridCol w:w="1082"/>
        <w:gridCol w:w="720"/>
        <w:gridCol w:w="720"/>
        <w:gridCol w:w="720"/>
        <w:gridCol w:w="900"/>
        <w:gridCol w:w="1260"/>
        <w:gridCol w:w="897"/>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7" w:hRule="atLeast"/>
        </w:trPr>
        <w:tc>
          <w:tcPr>
            <w:tcW w:w="1435" w:type="dxa"/>
            <w:tcBorders>
              <w:top w:val="single" w:color="auto" w:sz="2" w:space="0"/>
              <w:left w:val="single" w:color="auto" w:sz="2" w:space="0"/>
              <w:bottom w:val="single" w:color="auto" w:sz="2" w:space="0"/>
              <w:right w:val="single" w:color="auto" w:sz="2" w:space="0"/>
            </w:tcBorders>
            <w:vAlign w:val="center"/>
          </w:tcPr>
          <w:p>
            <w:pPr>
              <w:rPr>
                <w:rFonts w:ascii="Arial" w:hAnsi="Arial"/>
              </w:rPr>
            </w:pPr>
            <w:r>
              <w:rPr>
                <w:rFonts w:hint="eastAsia" w:ascii="Arial" w:hAnsi="Arial"/>
              </w:rPr>
              <w:t>公司名称</w:t>
            </w:r>
          </w:p>
        </w:tc>
        <w:tc>
          <w:tcPr>
            <w:tcW w:w="7197" w:type="dxa"/>
            <w:gridSpan w:val="8"/>
            <w:tcBorders>
              <w:top w:val="single" w:color="auto" w:sz="2" w:space="0"/>
              <w:left w:val="single" w:color="auto" w:sz="2" w:space="0"/>
              <w:bottom w:val="single" w:color="auto" w:sz="2" w:space="0"/>
              <w:right w:val="single" w:color="auto" w:sz="2" w:space="0"/>
            </w:tcBorders>
            <w:vAlign w:val="center"/>
          </w:tcPr>
          <w:p>
            <w:pPr>
              <w:rPr>
                <w:rFonts w:ascii="Arial" w:hAnsi="Arial"/>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49" w:hRule="atLeast"/>
        </w:trPr>
        <w:tc>
          <w:tcPr>
            <w:tcW w:w="1435" w:type="dxa"/>
            <w:tcBorders>
              <w:top w:val="single" w:color="auto" w:sz="2" w:space="0"/>
              <w:left w:val="single" w:color="auto" w:sz="2" w:space="0"/>
              <w:bottom w:val="single" w:color="auto" w:sz="2" w:space="0"/>
              <w:right w:val="single" w:color="auto" w:sz="2" w:space="0"/>
            </w:tcBorders>
            <w:vAlign w:val="center"/>
          </w:tcPr>
          <w:p>
            <w:pPr>
              <w:rPr>
                <w:rFonts w:ascii="Arial" w:hAnsi="Arial"/>
              </w:rPr>
            </w:pPr>
            <w:r>
              <w:rPr>
                <w:rFonts w:hint="eastAsia" w:ascii="Arial" w:hAnsi="Arial"/>
              </w:rPr>
              <w:t>联系人</w:t>
            </w:r>
          </w:p>
        </w:tc>
        <w:tc>
          <w:tcPr>
            <w:tcW w:w="898" w:type="dxa"/>
            <w:tcBorders>
              <w:top w:val="single" w:color="auto" w:sz="2" w:space="0"/>
              <w:left w:val="single" w:color="auto" w:sz="2" w:space="0"/>
              <w:bottom w:val="single" w:color="auto" w:sz="2" w:space="0"/>
              <w:right w:val="single" w:color="auto" w:sz="4" w:space="0"/>
            </w:tcBorders>
            <w:vAlign w:val="center"/>
          </w:tcPr>
          <w:p>
            <w:pPr>
              <w:rPr>
                <w:rFonts w:ascii="Arial" w:hAnsi="Arial"/>
              </w:rPr>
            </w:pPr>
          </w:p>
        </w:tc>
        <w:tc>
          <w:tcPr>
            <w:tcW w:w="1082" w:type="dxa"/>
            <w:tcBorders>
              <w:top w:val="single" w:color="auto" w:sz="2" w:space="0"/>
              <w:left w:val="single" w:color="auto" w:sz="4" w:space="0"/>
              <w:bottom w:val="single" w:color="auto" w:sz="2" w:space="0"/>
              <w:right w:val="single" w:color="auto" w:sz="2" w:space="0"/>
            </w:tcBorders>
            <w:vAlign w:val="center"/>
          </w:tcPr>
          <w:p>
            <w:pPr>
              <w:ind w:firstLine="210" w:firstLineChars="100"/>
              <w:rPr>
                <w:rFonts w:ascii="Arial" w:hAnsi="Arial"/>
              </w:rPr>
            </w:pPr>
            <w:r>
              <w:rPr>
                <w:rFonts w:hint="eastAsia" w:ascii="Arial" w:hAnsi="Arial"/>
              </w:rPr>
              <w:t>职务</w:t>
            </w:r>
          </w:p>
        </w:tc>
        <w:tc>
          <w:tcPr>
            <w:tcW w:w="720" w:type="dxa"/>
            <w:tcBorders>
              <w:top w:val="single" w:color="auto" w:sz="2" w:space="0"/>
              <w:left w:val="single" w:color="auto" w:sz="4" w:space="0"/>
              <w:bottom w:val="single" w:color="auto" w:sz="2" w:space="0"/>
              <w:right w:val="single" w:color="auto" w:sz="2" w:space="0"/>
            </w:tcBorders>
            <w:vAlign w:val="center"/>
          </w:tcPr>
          <w:p>
            <w:pPr>
              <w:rPr>
                <w:rFonts w:ascii="Arial" w:hAnsi="Arial"/>
              </w:rPr>
            </w:pPr>
          </w:p>
        </w:tc>
        <w:tc>
          <w:tcPr>
            <w:tcW w:w="1440" w:type="dxa"/>
            <w:gridSpan w:val="2"/>
            <w:tcBorders>
              <w:top w:val="single" w:color="auto" w:sz="2" w:space="0"/>
              <w:left w:val="single" w:color="auto" w:sz="2" w:space="0"/>
              <w:bottom w:val="single" w:color="auto" w:sz="2" w:space="0"/>
              <w:right w:val="single" w:color="auto" w:sz="2" w:space="0"/>
            </w:tcBorders>
            <w:vAlign w:val="center"/>
          </w:tcPr>
          <w:p>
            <w:pPr>
              <w:ind w:firstLine="105" w:firstLineChars="50"/>
              <w:rPr>
                <w:rFonts w:ascii="Arial" w:hAnsi="Arial"/>
              </w:rPr>
            </w:pPr>
            <w:r>
              <w:rPr>
                <w:rFonts w:hint="eastAsia" w:ascii="Arial" w:hAnsi="Arial"/>
              </w:rPr>
              <w:t>联系电话</w:t>
            </w:r>
          </w:p>
        </w:tc>
        <w:tc>
          <w:tcPr>
            <w:tcW w:w="3057" w:type="dxa"/>
            <w:gridSpan w:val="3"/>
            <w:tcBorders>
              <w:top w:val="single" w:color="auto" w:sz="2" w:space="0"/>
              <w:left w:val="single" w:color="auto" w:sz="2" w:space="0"/>
              <w:bottom w:val="single" w:color="auto" w:sz="2" w:space="0"/>
              <w:right w:val="single" w:color="auto" w:sz="2" w:space="0"/>
            </w:tcBorders>
            <w:vAlign w:val="center"/>
          </w:tcPr>
          <w:p>
            <w:pPr>
              <w:rPr>
                <w:rFonts w:ascii="Arial" w:hAnsi="Arial"/>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9" w:hRule="atLeast"/>
        </w:trPr>
        <w:tc>
          <w:tcPr>
            <w:tcW w:w="1435" w:type="dxa"/>
            <w:tcBorders>
              <w:top w:val="single" w:color="auto" w:sz="2" w:space="0"/>
              <w:left w:val="single" w:color="auto" w:sz="2" w:space="0"/>
              <w:bottom w:val="single" w:color="auto" w:sz="2" w:space="0"/>
              <w:right w:val="single" w:color="auto" w:sz="2" w:space="0"/>
            </w:tcBorders>
            <w:vAlign w:val="center"/>
          </w:tcPr>
          <w:p>
            <w:pPr>
              <w:rPr>
                <w:rFonts w:ascii="Arial" w:hAnsi="Arial"/>
              </w:rPr>
            </w:pPr>
            <w:r>
              <w:rPr>
                <w:rFonts w:hint="eastAsia" w:ascii="Arial" w:hAnsi="Arial"/>
              </w:rPr>
              <w:t>公司地址</w:t>
            </w:r>
          </w:p>
        </w:tc>
        <w:tc>
          <w:tcPr>
            <w:tcW w:w="5040" w:type="dxa"/>
            <w:gridSpan w:val="6"/>
            <w:tcBorders>
              <w:top w:val="single" w:color="auto" w:sz="2" w:space="0"/>
              <w:left w:val="single" w:color="auto" w:sz="2" w:space="0"/>
              <w:bottom w:val="single" w:color="auto" w:sz="2" w:space="0"/>
              <w:right w:val="single" w:color="auto" w:sz="2" w:space="0"/>
            </w:tcBorders>
            <w:vAlign w:val="center"/>
          </w:tcPr>
          <w:p>
            <w:pPr>
              <w:rPr>
                <w:rFonts w:ascii="Arial" w:hAnsi="Arial"/>
              </w:rPr>
            </w:pPr>
          </w:p>
        </w:tc>
        <w:tc>
          <w:tcPr>
            <w:tcW w:w="1260" w:type="dxa"/>
            <w:tcBorders>
              <w:top w:val="single" w:color="auto" w:sz="2" w:space="0"/>
              <w:left w:val="single" w:color="auto" w:sz="2" w:space="0"/>
              <w:bottom w:val="single" w:color="auto" w:sz="2" w:space="0"/>
              <w:right w:val="single" w:color="auto" w:sz="2" w:space="0"/>
            </w:tcBorders>
            <w:vAlign w:val="center"/>
          </w:tcPr>
          <w:p>
            <w:pPr>
              <w:ind w:firstLine="315" w:firstLineChars="150"/>
              <w:rPr>
                <w:rFonts w:ascii="Arial" w:hAnsi="Arial"/>
              </w:rPr>
            </w:pPr>
            <w:r>
              <w:rPr>
                <w:rFonts w:hint="eastAsia" w:ascii="Arial" w:hAnsi="Arial"/>
              </w:rPr>
              <w:t>邮编</w:t>
            </w:r>
          </w:p>
        </w:tc>
        <w:tc>
          <w:tcPr>
            <w:tcW w:w="897" w:type="dxa"/>
            <w:tcBorders>
              <w:top w:val="single" w:color="auto" w:sz="2" w:space="0"/>
              <w:left w:val="single" w:color="auto" w:sz="2" w:space="0"/>
              <w:bottom w:val="single" w:color="auto" w:sz="2" w:space="0"/>
              <w:right w:val="single" w:color="auto" w:sz="2" w:space="0"/>
            </w:tcBorders>
            <w:vAlign w:val="center"/>
          </w:tcPr>
          <w:p>
            <w:pPr>
              <w:rPr>
                <w:rFonts w:ascii="Arial" w:hAnsi="Arial"/>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1" w:hRule="atLeast"/>
        </w:trPr>
        <w:tc>
          <w:tcPr>
            <w:tcW w:w="1435" w:type="dxa"/>
            <w:tcBorders>
              <w:top w:val="single" w:color="auto" w:sz="2" w:space="0"/>
              <w:left w:val="single" w:color="auto" w:sz="2" w:space="0"/>
              <w:bottom w:val="single" w:color="auto" w:sz="2" w:space="0"/>
              <w:right w:val="single" w:color="auto" w:sz="2" w:space="0"/>
            </w:tcBorders>
            <w:vAlign w:val="center"/>
          </w:tcPr>
          <w:p>
            <w:pPr>
              <w:rPr>
                <w:rFonts w:ascii="Arial" w:hAnsi="Arial"/>
              </w:rPr>
            </w:pPr>
            <w:r>
              <w:rPr>
                <w:rFonts w:ascii="Arial" w:hAnsi="Arial"/>
              </w:rPr>
              <w:t>E-mail</w:t>
            </w:r>
          </w:p>
        </w:tc>
        <w:tc>
          <w:tcPr>
            <w:tcW w:w="1980" w:type="dxa"/>
            <w:gridSpan w:val="2"/>
            <w:tcBorders>
              <w:top w:val="single" w:color="auto" w:sz="2" w:space="0"/>
              <w:left w:val="single" w:color="auto" w:sz="2" w:space="0"/>
              <w:bottom w:val="single" w:color="auto" w:sz="2" w:space="0"/>
              <w:right w:val="single" w:color="auto" w:sz="2" w:space="0"/>
            </w:tcBorders>
            <w:vAlign w:val="center"/>
          </w:tcPr>
          <w:p>
            <w:pPr>
              <w:rPr>
                <w:rFonts w:ascii="Arial" w:hAnsi="Arial"/>
              </w:rPr>
            </w:pPr>
          </w:p>
        </w:tc>
        <w:tc>
          <w:tcPr>
            <w:tcW w:w="1440" w:type="dxa"/>
            <w:gridSpan w:val="2"/>
            <w:tcBorders>
              <w:top w:val="single" w:color="auto" w:sz="2" w:space="0"/>
              <w:left w:val="single" w:color="auto" w:sz="2" w:space="0"/>
              <w:bottom w:val="single" w:color="auto" w:sz="2" w:space="0"/>
              <w:right w:val="single" w:color="auto" w:sz="2" w:space="0"/>
            </w:tcBorders>
            <w:vAlign w:val="center"/>
          </w:tcPr>
          <w:p>
            <w:pPr>
              <w:ind w:firstLine="315" w:firstLineChars="150"/>
              <w:rPr>
                <w:rFonts w:ascii="Arial" w:hAnsi="Arial"/>
              </w:rPr>
            </w:pPr>
            <w:r>
              <w:rPr>
                <w:rFonts w:hint="eastAsia" w:ascii="Arial" w:hAnsi="Arial"/>
              </w:rPr>
              <w:t>传真</w:t>
            </w:r>
          </w:p>
        </w:tc>
        <w:tc>
          <w:tcPr>
            <w:tcW w:w="1620" w:type="dxa"/>
            <w:gridSpan w:val="2"/>
            <w:tcBorders>
              <w:top w:val="single" w:color="auto" w:sz="2" w:space="0"/>
              <w:left w:val="single" w:color="auto" w:sz="2" w:space="0"/>
              <w:bottom w:val="single" w:color="auto" w:sz="2" w:space="0"/>
              <w:right w:val="single" w:color="auto" w:sz="2" w:space="0"/>
            </w:tcBorders>
            <w:vAlign w:val="center"/>
          </w:tcPr>
          <w:p>
            <w:pPr>
              <w:rPr>
                <w:rFonts w:ascii="Arial" w:hAnsi="Arial"/>
              </w:rPr>
            </w:pPr>
          </w:p>
        </w:tc>
        <w:tc>
          <w:tcPr>
            <w:tcW w:w="1260" w:type="dxa"/>
            <w:tcBorders>
              <w:top w:val="single" w:color="auto" w:sz="2" w:space="0"/>
              <w:left w:val="single" w:color="auto" w:sz="2" w:space="0"/>
              <w:bottom w:val="single" w:color="auto" w:sz="2" w:space="0"/>
              <w:right w:val="single" w:color="auto" w:sz="2" w:space="0"/>
            </w:tcBorders>
            <w:vAlign w:val="center"/>
          </w:tcPr>
          <w:p>
            <w:pPr>
              <w:rPr>
                <w:rFonts w:ascii="Arial" w:hAnsi="Arial"/>
              </w:rPr>
            </w:pPr>
            <w:r>
              <w:rPr>
                <w:rFonts w:hint="eastAsia" w:ascii="Arial" w:hAnsi="Arial"/>
              </w:rPr>
              <w:t>参加人数</w:t>
            </w:r>
          </w:p>
        </w:tc>
        <w:tc>
          <w:tcPr>
            <w:tcW w:w="897" w:type="dxa"/>
            <w:tcBorders>
              <w:top w:val="single" w:color="auto" w:sz="2" w:space="0"/>
              <w:left w:val="single" w:color="auto" w:sz="2" w:space="0"/>
              <w:bottom w:val="single" w:color="auto" w:sz="2" w:space="0"/>
              <w:right w:val="single" w:color="auto" w:sz="2" w:space="0"/>
            </w:tcBorders>
            <w:vAlign w:val="center"/>
          </w:tcPr>
          <w:p>
            <w:pPr>
              <w:rPr>
                <w:rFonts w:ascii="Arial" w:hAnsi="Arial"/>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5" w:hRule="atLeast"/>
        </w:trPr>
        <w:tc>
          <w:tcPr>
            <w:tcW w:w="1435" w:type="dxa"/>
            <w:tcBorders>
              <w:top w:val="single" w:color="auto" w:sz="2" w:space="0"/>
              <w:left w:val="single" w:color="auto" w:sz="2" w:space="0"/>
              <w:bottom w:val="single" w:color="auto" w:sz="2" w:space="0"/>
              <w:right w:val="single" w:color="auto" w:sz="2" w:space="0"/>
            </w:tcBorders>
            <w:vAlign w:val="center"/>
          </w:tcPr>
          <w:p>
            <w:pPr>
              <w:rPr>
                <w:rFonts w:ascii="Arial" w:hAnsi="Arial"/>
              </w:rPr>
            </w:pPr>
            <w:r>
              <w:rPr>
                <w:rFonts w:hint="eastAsia" w:ascii="Arial" w:hAnsi="Arial"/>
              </w:rPr>
              <w:t>报名人姓名</w:t>
            </w:r>
          </w:p>
        </w:tc>
        <w:tc>
          <w:tcPr>
            <w:tcW w:w="898" w:type="dxa"/>
            <w:tcBorders>
              <w:top w:val="single" w:color="auto" w:sz="2" w:space="0"/>
              <w:left w:val="single" w:color="auto" w:sz="2" w:space="0"/>
              <w:bottom w:val="single" w:color="auto" w:sz="2" w:space="0"/>
              <w:right w:val="single" w:color="auto" w:sz="4" w:space="0"/>
            </w:tcBorders>
            <w:vAlign w:val="center"/>
          </w:tcPr>
          <w:p>
            <w:pPr>
              <w:ind w:firstLine="105" w:firstLineChars="50"/>
              <w:rPr>
                <w:rFonts w:ascii="Arial" w:hAnsi="Arial"/>
              </w:rPr>
            </w:pPr>
            <w:r>
              <w:rPr>
                <w:rFonts w:hint="eastAsia" w:ascii="Arial" w:hAnsi="Arial"/>
              </w:rPr>
              <w:t>性别</w:t>
            </w:r>
          </w:p>
        </w:tc>
        <w:tc>
          <w:tcPr>
            <w:tcW w:w="1082" w:type="dxa"/>
            <w:tcBorders>
              <w:top w:val="single" w:color="auto" w:sz="2" w:space="0"/>
              <w:left w:val="single" w:color="auto" w:sz="4" w:space="0"/>
              <w:bottom w:val="single" w:color="auto" w:sz="4" w:space="0"/>
              <w:right w:val="single" w:color="auto" w:sz="2" w:space="0"/>
            </w:tcBorders>
            <w:vAlign w:val="center"/>
          </w:tcPr>
          <w:p>
            <w:pPr>
              <w:ind w:firstLine="210" w:firstLineChars="100"/>
              <w:rPr>
                <w:rFonts w:ascii="Arial" w:hAnsi="Arial"/>
              </w:rPr>
            </w:pPr>
            <w:r>
              <w:rPr>
                <w:rFonts w:hint="eastAsia" w:ascii="Arial" w:hAnsi="Arial"/>
              </w:rPr>
              <w:t>职务</w:t>
            </w:r>
          </w:p>
        </w:tc>
        <w:tc>
          <w:tcPr>
            <w:tcW w:w="1440" w:type="dxa"/>
            <w:gridSpan w:val="2"/>
            <w:tcBorders>
              <w:top w:val="single" w:color="auto" w:sz="2" w:space="0"/>
              <w:left w:val="single" w:color="auto" w:sz="2" w:space="0"/>
              <w:bottom w:val="single" w:color="auto" w:sz="4" w:space="0"/>
              <w:right w:val="single" w:color="auto" w:sz="4" w:space="0"/>
            </w:tcBorders>
            <w:vAlign w:val="center"/>
          </w:tcPr>
          <w:p>
            <w:pPr>
              <w:ind w:firstLine="105" w:firstLineChars="50"/>
              <w:rPr>
                <w:rFonts w:ascii="Arial" w:hAnsi="Arial"/>
              </w:rPr>
            </w:pPr>
            <w:r>
              <w:rPr>
                <w:rFonts w:hint="eastAsia" w:ascii="Arial" w:hAnsi="Arial"/>
              </w:rPr>
              <w:t>办公电话</w:t>
            </w:r>
          </w:p>
        </w:tc>
        <w:tc>
          <w:tcPr>
            <w:tcW w:w="1620" w:type="dxa"/>
            <w:gridSpan w:val="2"/>
            <w:tcBorders>
              <w:top w:val="single" w:color="auto" w:sz="2" w:space="0"/>
              <w:left w:val="single" w:color="auto" w:sz="4" w:space="0"/>
              <w:bottom w:val="single" w:color="auto" w:sz="2" w:space="0"/>
              <w:right w:val="single" w:color="auto" w:sz="2" w:space="0"/>
            </w:tcBorders>
            <w:vAlign w:val="center"/>
          </w:tcPr>
          <w:p>
            <w:pPr>
              <w:ind w:firstLine="420" w:firstLineChars="200"/>
              <w:rPr>
                <w:rFonts w:ascii="Arial" w:hAnsi="Arial"/>
              </w:rPr>
            </w:pPr>
            <w:r>
              <w:rPr>
                <w:rFonts w:hint="eastAsia" w:ascii="Arial" w:hAnsi="Arial"/>
              </w:rPr>
              <w:t>手机</w:t>
            </w:r>
          </w:p>
        </w:tc>
        <w:tc>
          <w:tcPr>
            <w:tcW w:w="2157" w:type="dxa"/>
            <w:gridSpan w:val="2"/>
            <w:tcBorders>
              <w:top w:val="single" w:color="auto" w:sz="2" w:space="0"/>
              <w:left w:val="single" w:color="auto" w:sz="2" w:space="0"/>
              <w:bottom w:val="single" w:color="auto" w:sz="2" w:space="0"/>
              <w:right w:val="single" w:color="auto" w:sz="2" w:space="0"/>
            </w:tcBorders>
            <w:vAlign w:val="center"/>
          </w:tcPr>
          <w:p>
            <w:pPr>
              <w:ind w:firstLine="630" w:firstLineChars="300"/>
              <w:rPr>
                <w:rFonts w:ascii="Arial" w:hAnsi="Arial"/>
              </w:rPr>
            </w:pPr>
            <w:r>
              <w:rPr>
                <w:rFonts w:ascii="Arial" w:hAnsi="Arial"/>
              </w:rPr>
              <w:t xml:space="preserve">E-mail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48" w:hRule="atLeast"/>
        </w:trPr>
        <w:tc>
          <w:tcPr>
            <w:tcW w:w="1435" w:type="dxa"/>
            <w:tcBorders>
              <w:top w:val="single" w:color="auto" w:sz="2" w:space="0"/>
              <w:left w:val="single" w:color="auto" w:sz="2" w:space="0"/>
              <w:bottom w:val="single" w:color="auto" w:sz="2" w:space="0"/>
              <w:right w:val="single" w:color="auto" w:sz="2" w:space="0"/>
            </w:tcBorders>
            <w:vAlign w:val="center"/>
          </w:tcPr>
          <w:p>
            <w:pPr>
              <w:rPr>
                <w:rFonts w:ascii="Arial" w:hAnsi="Arial"/>
              </w:rPr>
            </w:pPr>
          </w:p>
        </w:tc>
        <w:tc>
          <w:tcPr>
            <w:tcW w:w="898" w:type="dxa"/>
            <w:tcBorders>
              <w:top w:val="single" w:color="auto" w:sz="2" w:space="0"/>
              <w:left w:val="single" w:color="auto" w:sz="2" w:space="0"/>
              <w:bottom w:val="single" w:color="auto" w:sz="2" w:space="0"/>
              <w:right w:val="single" w:color="auto" w:sz="4" w:space="0"/>
            </w:tcBorders>
            <w:vAlign w:val="center"/>
          </w:tcPr>
          <w:p>
            <w:pPr>
              <w:rPr>
                <w:rFonts w:ascii="Arial" w:hAnsi="Arial"/>
              </w:rPr>
            </w:pPr>
          </w:p>
        </w:tc>
        <w:tc>
          <w:tcPr>
            <w:tcW w:w="1082" w:type="dxa"/>
            <w:tcBorders>
              <w:top w:val="single" w:color="auto" w:sz="4" w:space="0"/>
              <w:left w:val="single" w:color="auto" w:sz="4" w:space="0"/>
              <w:bottom w:val="single" w:color="auto" w:sz="2" w:space="0"/>
              <w:right w:val="single" w:color="auto" w:sz="2" w:space="0"/>
            </w:tcBorders>
            <w:vAlign w:val="center"/>
          </w:tcPr>
          <w:p>
            <w:pPr>
              <w:rPr>
                <w:rFonts w:ascii="Arial" w:hAnsi="Arial"/>
              </w:rPr>
            </w:pPr>
          </w:p>
        </w:tc>
        <w:tc>
          <w:tcPr>
            <w:tcW w:w="1440" w:type="dxa"/>
            <w:gridSpan w:val="2"/>
            <w:tcBorders>
              <w:top w:val="single" w:color="auto" w:sz="4" w:space="0"/>
              <w:left w:val="single" w:color="auto" w:sz="2" w:space="0"/>
              <w:bottom w:val="single" w:color="auto" w:sz="2" w:space="0"/>
              <w:right w:val="single" w:color="auto" w:sz="4" w:space="0"/>
            </w:tcBorders>
            <w:vAlign w:val="center"/>
          </w:tcPr>
          <w:p>
            <w:pPr>
              <w:rPr>
                <w:rFonts w:ascii="Arial" w:hAnsi="Arial"/>
              </w:rPr>
            </w:pPr>
          </w:p>
        </w:tc>
        <w:tc>
          <w:tcPr>
            <w:tcW w:w="1620" w:type="dxa"/>
            <w:gridSpan w:val="2"/>
            <w:tcBorders>
              <w:top w:val="single" w:color="auto" w:sz="2" w:space="0"/>
              <w:left w:val="single" w:color="auto" w:sz="4" w:space="0"/>
              <w:bottom w:val="single" w:color="auto" w:sz="2" w:space="0"/>
              <w:right w:val="single" w:color="auto" w:sz="2" w:space="0"/>
            </w:tcBorders>
            <w:vAlign w:val="center"/>
          </w:tcPr>
          <w:p>
            <w:pPr>
              <w:rPr>
                <w:rFonts w:ascii="Arial" w:hAnsi="Arial"/>
              </w:rPr>
            </w:pPr>
          </w:p>
        </w:tc>
        <w:tc>
          <w:tcPr>
            <w:tcW w:w="2157" w:type="dxa"/>
            <w:gridSpan w:val="2"/>
            <w:tcBorders>
              <w:top w:val="single" w:color="auto" w:sz="2" w:space="0"/>
              <w:left w:val="single" w:color="auto" w:sz="2" w:space="0"/>
              <w:bottom w:val="single" w:color="auto" w:sz="2" w:space="0"/>
              <w:right w:val="single" w:color="auto" w:sz="2" w:space="0"/>
            </w:tcBorders>
            <w:vAlign w:val="center"/>
          </w:tcPr>
          <w:p>
            <w:pPr>
              <w:rPr>
                <w:rFonts w:ascii="Arial" w:hAnsi="Arial"/>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48" w:hRule="atLeast"/>
        </w:trPr>
        <w:tc>
          <w:tcPr>
            <w:tcW w:w="1435" w:type="dxa"/>
            <w:tcBorders>
              <w:top w:val="single" w:color="auto" w:sz="2" w:space="0"/>
              <w:left w:val="single" w:color="auto" w:sz="2" w:space="0"/>
              <w:bottom w:val="single" w:color="auto" w:sz="2" w:space="0"/>
              <w:right w:val="single" w:color="auto" w:sz="2" w:space="0"/>
            </w:tcBorders>
            <w:vAlign w:val="center"/>
          </w:tcPr>
          <w:p>
            <w:pPr>
              <w:rPr>
                <w:rFonts w:ascii="Arial" w:hAnsi="Arial"/>
              </w:rPr>
            </w:pPr>
          </w:p>
        </w:tc>
        <w:tc>
          <w:tcPr>
            <w:tcW w:w="898" w:type="dxa"/>
            <w:tcBorders>
              <w:top w:val="single" w:color="auto" w:sz="2" w:space="0"/>
              <w:left w:val="single" w:color="auto" w:sz="2" w:space="0"/>
              <w:bottom w:val="single" w:color="auto" w:sz="2" w:space="0"/>
              <w:right w:val="single" w:color="auto" w:sz="4" w:space="0"/>
            </w:tcBorders>
            <w:vAlign w:val="center"/>
          </w:tcPr>
          <w:p>
            <w:pPr>
              <w:rPr>
                <w:rFonts w:ascii="Arial" w:hAnsi="Arial"/>
              </w:rPr>
            </w:pPr>
          </w:p>
        </w:tc>
        <w:tc>
          <w:tcPr>
            <w:tcW w:w="1082" w:type="dxa"/>
            <w:tcBorders>
              <w:top w:val="single" w:color="auto" w:sz="2" w:space="0"/>
              <w:left w:val="single" w:color="auto" w:sz="4" w:space="0"/>
              <w:bottom w:val="single" w:color="auto" w:sz="2" w:space="0"/>
              <w:right w:val="single" w:color="auto" w:sz="2" w:space="0"/>
            </w:tcBorders>
            <w:vAlign w:val="center"/>
          </w:tcPr>
          <w:p>
            <w:pPr>
              <w:rPr>
                <w:rFonts w:ascii="Arial" w:hAnsi="Arial"/>
              </w:rPr>
            </w:pPr>
          </w:p>
        </w:tc>
        <w:tc>
          <w:tcPr>
            <w:tcW w:w="1440" w:type="dxa"/>
            <w:gridSpan w:val="2"/>
            <w:tcBorders>
              <w:top w:val="single" w:color="auto" w:sz="2" w:space="0"/>
              <w:left w:val="single" w:color="auto" w:sz="2" w:space="0"/>
              <w:bottom w:val="single" w:color="auto" w:sz="2" w:space="0"/>
              <w:right w:val="single" w:color="auto" w:sz="4" w:space="0"/>
            </w:tcBorders>
            <w:vAlign w:val="center"/>
          </w:tcPr>
          <w:p>
            <w:pPr>
              <w:rPr>
                <w:rFonts w:ascii="Arial" w:hAnsi="Arial"/>
              </w:rPr>
            </w:pPr>
          </w:p>
        </w:tc>
        <w:tc>
          <w:tcPr>
            <w:tcW w:w="1620" w:type="dxa"/>
            <w:gridSpan w:val="2"/>
            <w:tcBorders>
              <w:top w:val="single" w:color="auto" w:sz="2" w:space="0"/>
              <w:left w:val="single" w:color="auto" w:sz="4" w:space="0"/>
              <w:bottom w:val="single" w:color="auto" w:sz="2" w:space="0"/>
              <w:right w:val="single" w:color="auto" w:sz="2" w:space="0"/>
            </w:tcBorders>
            <w:vAlign w:val="center"/>
          </w:tcPr>
          <w:p>
            <w:pPr>
              <w:rPr>
                <w:rFonts w:ascii="Arial" w:hAnsi="Arial"/>
              </w:rPr>
            </w:pPr>
          </w:p>
        </w:tc>
        <w:tc>
          <w:tcPr>
            <w:tcW w:w="2157" w:type="dxa"/>
            <w:gridSpan w:val="2"/>
            <w:tcBorders>
              <w:top w:val="single" w:color="auto" w:sz="2" w:space="0"/>
              <w:left w:val="single" w:color="auto" w:sz="2" w:space="0"/>
              <w:bottom w:val="single" w:color="auto" w:sz="2" w:space="0"/>
              <w:right w:val="single" w:color="auto" w:sz="2" w:space="0"/>
            </w:tcBorders>
            <w:vAlign w:val="center"/>
          </w:tcPr>
          <w:p>
            <w:pPr>
              <w:rPr>
                <w:rFonts w:ascii="Arial" w:hAnsi="Arial"/>
              </w:rPr>
            </w:pPr>
          </w:p>
        </w:tc>
      </w:tr>
    </w:tbl>
    <w:p/>
    <w:p>
      <w:pPr>
        <w:rPr>
          <w:rFonts w:ascii="宋体" w:hAnsi="宋体"/>
          <w:b/>
          <w:bCs/>
          <w:color w:val="7030A0"/>
          <w:kern w:val="0"/>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Arial">
    <w:panose1 w:val="020B0604020202020204"/>
    <w:charset w:val="00"/>
    <w:family w:val="swiss"/>
    <w:pitch w:val="default"/>
    <w:sig w:usb0="E0002EFF" w:usb1="C000785B" w:usb2="00000009" w:usb3="00000000" w:csb0="4000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B"/>
    <w:multiLevelType w:val="singleLevel"/>
    <w:tmpl w:val="0000000B"/>
    <w:lvl w:ilvl="0" w:tentative="0">
      <w:start w:val="1"/>
      <w:numFmt w:val="decimal"/>
      <w:suff w:val="nothing"/>
      <w:lvlText w:val="%1."/>
      <w:lvlJc w:val="left"/>
    </w:lvl>
  </w:abstractNum>
  <w:abstractNum w:abstractNumId="1">
    <w:nsid w:val="0B822372"/>
    <w:multiLevelType w:val="multilevel"/>
    <w:tmpl w:val="0B822372"/>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2">
    <w:nsid w:val="2BD42BEE"/>
    <w:multiLevelType w:val="multilevel"/>
    <w:tmpl w:val="2BD42BEE"/>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3">
    <w:nsid w:val="3750370C"/>
    <w:multiLevelType w:val="multilevel"/>
    <w:tmpl w:val="3750370C"/>
    <w:lvl w:ilvl="0" w:tentative="0">
      <w:start w:val="1"/>
      <w:numFmt w:val="bullet"/>
      <w:lvlText w:val=""/>
      <w:lvlJc w:val="left"/>
      <w:pPr>
        <w:ind w:left="420" w:hanging="420"/>
      </w:pPr>
      <w:rPr>
        <w:rFonts w:hint="default" w:ascii="Wingdings" w:hAnsi="Wingding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42DD6AA4"/>
    <w:multiLevelType w:val="multilevel"/>
    <w:tmpl w:val="42DD6AA4"/>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5">
    <w:nsid w:val="651D4A92"/>
    <w:multiLevelType w:val="multilevel"/>
    <w:tmpl w:val="651D4A92"/>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1611"/>
    <w:rsid w:val="0000073E"/>
    <w:rsid w:val="000053EC"/>
    <w:rsid w:val="00005ED9"/>
    <w:rsid w:val="0002011C"/>
    <w:rsid w:val="00030B2F"/>
    <w:rsid w:val="00031DCB"/>
    <w:rsid w:val="00052031"/>
    <w:rsid w:val="0005587D"/>
    <w:rsid w:val="00063643"/>
    <w:rsid w:val="000933A2"/>
    <w:rsid w:val="00097988"/>
    <w:rsid w:val="000A0B58"/>
    <w:rsid w:val="000A1BBD"/>
    <w:rsid w:val="000B477B"/>
    <w:rsid w:val="000B482E"/>
    <w:rsid w:val="000C5C59"/>
    <w:rsid w:val="000D6634"/>
    <w:rsid w:val="000E13E2"/>
    <w:rsid w:val="000E29A8"/>
    <w:rsid w:val="000F194C"/>
    <w:rsid w:val="00112B5B"/>
    <w:rsid w:val="00122A32"/>
    <w:rsid w:val="0012341F"/>
    <w:rsid w:val="00123E5A"/>
    <w:rsid w:val="00132C2F"/>
    <w:rsid w:val="001433F9"/>
    <w:rsid w:val="00147178"/>
    <w:rsid w:val="00154C16"/>
    <w:rsid w:val="00177C15"/>
    <w:rsid w:val="0018603C"/>
    <w:rsid w:val="001B0403"/>
    <w:rsid w:val="001C4714"/>
    <w:rsid w:val="001D0AAD"/>
    <w:rsid w:val="00201040"/>
    <w:rsid w:val="002022F1"/>
    <w:rsid w:val="00203620"/>
    <w:rsid w:val="002039F5"/>
    <w:rsid w:val="002231B1"/>
    <w:rsid w:val="002345C4"/>
    <w:rsid w:val="00237957"/>
    <w:rsid w:val="00242B34"/>
    <w:rsid w:val="00250BF7"/>
    <w:rsid w:val="002637F2"/>
    <w:rsid w:val="00270E47"/>
    <w:rsid w:val="0028332C"/>
    <w:rsid w:val="002B1C0D"/>
    <w:rsid w:val="002B7A72"/>
    <w:rsid w:val="002C5B0D"/>
    <w:rsid w:val="002E298A"/>
    <w:rsid w:val="002F17BF"/>
    <w:rsid w:val="002F57C6"/>
    <w:rsid w:val="00302D49"/>
    <w:rsid w:val="00303383"/>
    <w:rsid w:val="00306521"/>
    <w:rsid w:val="0032742A"/>
    <w:rsid w:val="00333A78"/>
    <w:rsid w:val="00343BB4"/>
    <w:rsid w:val="00355518"/>
    <w:rsid w:val="00366AE5"/>
    <w:rsid w:val="00383E6B"/>
    <w:rsid w:val="00387D0B"/>
    <w:rsid w:val="003912FA"/>
    <w:rsid w:val="0039141E"/>
    <w:rsid w:val="003931AE"/>
    <w:rsid w:val="003A4F40"/>
    <w:rsid w:val="003B242B"/>
    <w:rsid w:val="003C215F"/>
    <w:rsid w:val="003E080A"/>
    <w:rsid w:val="003E31C9"/>
    <w:rsid w:val="003E5679"/>
    <w:rsid w:val="00400230"/>
    <w:rsid w:val="00405E93"/>
    <w:rsid w:val="0042660F"/>
    <w:rsid w:val="004306C7"/>
    <w:rsid w:val="00461611"/>
    <w:rsid w:val="00470C85"/>
    <w:rsid w:val="00475126"/>
    <w:rsid w:val="00490CC4"/>
    <w:rsid w:val="004A1A97"/>
    <w:rsid w:val="004A4311"/>
    <w:rsid w:val="004C4F92"/>
    <w:rsid w:val="004C50B9"/>
    <w:rsid w:val="004C5D6E"/>
    <w:rsid w:val="004C64F1"/>
    <w:rsid w:val="004D2C46"/>
    <w:rsid w:val="004E179C"/>
    <w:rsid w:val="004F211B"/>
    <w:rsid w:val="00511C8C"/>
    <w:rsid w:val="00515C3B"/>
    <w:rsid w:val="0051649B"/>
    <w:rsid w:val="005438F8"/>
    <w:rsid w:val="00553211"/>
    <w:rsid w:val="00566BE6"/>
    <w:rsid w:val="005745B7"/>
    <w:rsid w:val="00583969"/>
    <w:rsid w:val="005935AC"/>
    <w:rsid w:val="00597C21"/>
    <w:rsid w:val="005A649F"/>
    <w:rsid w:val="005B603E"/>
    <w:rsid w:val="005B761E"/>
    <w:rsid w:val="005C00BA"/>
    <w:rsid w:val="005C5234"/>
    <w:rsid w:val="005C6069"/>
    <w:rsid w:val="005D08BA"/>
    <w:rsid w:val="005D0B65"/>
    <w:rsid w:val="005D40E5"/>
    <w:rsid w:val="005D4AA0"/>
    <w:rsid w:val="005E6EC1"/>
    <w:rsid w:val="006007C5"/>
    <w:rsid w:val="0060677F"/>
    <w:rsid w:val="00611B83"/>
    <w:rsid w:val="00615327"/>
    <w:rsid w:val="00620A39"/>
    <w:rsid w:val="0062178F"/>
    <w:rsid w:val="00633BE0"/>
    <w:rsid w:val="00637AFE"/>
    <w:rsid w:val="006400C6"/>
    <w:rsid w:val="00646FAE"/>
    <w:rsid w:val="006547F0"/>
    <w:rsid w:val="006741DA"/>
    <w:rsid w:val="00684869"/>
    <w:rsid w:val="00694A7D"/>
    <w:rsid w:val="00695F8C"/>
    <w:rsid w:val="006A07F0"/>
    <w:rsid w:val="006B3077"/>
    <w:rsid w:val="006C6810"/>
    <w:rsid w:val="006D404B"/>
    <w:rsid w:val="006F448B"/>
    <w:rsid w:val="00704E59"/>
    <w:rsid w:val="00721BC2"/>
    <w:rsid w:val="00723B73"/>
    <w:rsid w:val="00740C72"/>
    <w:rsid w:val="00740D97"/>
    <w:rsid w:val="0075315A"/>
    <w:rsid w:val="00763AA2"/>
    <w:rsid w:val="00767084"/>
    <w:rsid w:val="007803ED"/>
    <w:rsid w:val="007823A7"/>
    <w:rsid w:val="00784DE2"/>
    <w:rsid w:val="007C5FE6"/>
    <w:rsid w:val="007D0DFA"/>
    <w:rsid w:val="007E68AD"/>
    <w:rsid w:val="007F6C6E"/>
    <w:rsid w:val="00804B19"/>
    <w:rsid w:val="0080540D"/>
    <w:rsid w:val="00807562"/>
    <w:rsid w:val="00815843"/>
    <w:rsid w:val="00830AE0"/>
    <w:rsid w:val="00832016"/>
    <w:rsid w:val="00835A73"/>
    <w:rsid w:val="00847BB5"/>
    <w:rsid w:val="00860581"/>
    <w:rsid w:val="00865E5A"/>
    <w:rsid w:val="00886C54"/>
    <w:rsid w:val="00893912"/>
    <w:rsid w:val="008A0D6D"/>
    <w:rsid w:val="008B2307"/>
    <w:rsid w:val="008B28B3"/>
    <w:rsid w:val="008C12CE"/>
    <w:rsid w:val="008C60CA"/>
    <w:rsid w:val="008D0B00"/>
    <w:rsid w:val="008D0CD0"/>
    <w:rsid w:val="008D7148"/>
    <w:rsid w:val="008E5234"/>
    <w:rsid w:val="008E551E"/>
    <w:rsid w:val="008F0333"/>
    <w:rsid w:val="008F29BF"/>
    <w:rsid w:val="00900F6F"/>
    <w:rsid w:val="009047B0"/>
    <w:rsid w:val="009152D3"/>
    <w:rsid w:val="00916568"/>
    <w:rsid w:val="009358A7"/>
    <w:rsid w:val="009409C0"/>
    <w:rsid w:val="00942FBE"/>
    <w:rsid w:val="00945A92"/>
    <w:rsid w:val="00946530"/>
    <w:rsid w:val="00961F7E"/>
    <w:rsid w:val="009816FE"/>
    <w:rsid w:val="00983C33"/>
    <w:rsid w:val="0099296F"/>
    <w:rsid w:val="009A0600"/>
    <w:rsid w:val="009A3C94"/>
    <w:rsid w:val="009C0951"/>
    <w:rsid w:val="009C4DA7"/>
    <w:rsid w:val="009D271B"/>
    <w:rsid w:val="009D34BC"/>
    <w:rsid w:val="009D4A67"/>
    <w:rsid w:val="009E13E8"/>
    <w:rsid w:val="009E20DC"/>
    <w:rsid w:val="009F3E58"/>
    <w:rsid w:val="00A172B8"/>
    <w:rsid w:val="00A26920"/>
    <w:rsid w:val="00A35AA6"/>
    <w:rsid w:val="00A66E5B"/>
    <w:rsid w:val="00A82149"/>
    <w:rsid w:val="00A85723"/>
    <w:rsid w:val="00A85B90"/>
    <w:rsid w:val="00AB2531"/>
    <w:rsid w:val="00AB2834"/>
    <w:rsid w:val="00AB3949"/>
    <w:rsid w:val="00AB3E70"/>
    <w:rsid w:val="00AC20F8"/>
    <w:rsid w:val="00AC31E7"/>
    <w:rsid w:val="00AC418F"/>
    <w:rsid w:val="00AE2983"/>
    <w:rsid w:val="00AF1E41"/>
    <w:rsid w:val="00AF296C"/>
    <w:rsid w:val="00AF4239"/>
    <w:rsid w:val="00B06953"/>
    <w:rsid w:val="00B07A61"/>
    <w:rsid w:val="00B414BC"/>
    <w:rsid w:val="00B67BFC"/>
    <w:rsid w:val="00B72CE3"/>
    <w:rsid w:val="00B74B42"/>
    <w:rsid w:val="00B77DC5"/>
    <w:rsid w:val="00B8517F"/>
    <w:rsid w:val="00B948D2"/>
    <w:rsid w:val="00B96F85"/>
    <w:rsid w:val="00B97A71"/>
    <w:rsid w:val="00BB3884"/>
    <w:rsid w:val="00BB3BDE"/>
    <w:rsid w:val="00BB5C6F"/>
    <w:rsid w:val="00BE1AE2"/>
    <w:rsid w:val="00BF28A1"/>
    <w:rsid w:val="00BF46E9"/>
    <w:rsid w:val="00C214DA"/>
    <w:rsid w:val="00C36420"/>
    <w:rsid w:val="00C425E9"/>
    <w:rsid w:val="00C42E89"/>
    <w:rsid w:val="00C61BC3"/>
    <w:rsid w:val="00C734D2"/>
    <w:rsid w:val="00C755E0"/>
    <w:rsid w:val="00C83B5E"/>
    <w:rsid w:val="00C93317"/>
    <w:rsid w:val="00C945B6"/>
    <w:rsid w:val="00C96C01"/>
    <w:rsid w:val="00CA0F5F"/>
    <w:rsid w:val="00CA1211"/>
    <w:rsid w:val="00CA2E8A"/>
    <w:rsid w:val="00CA4B7F"/>
    <w:rsid w:val="00CD542D"/>
    <w:rsid w:val="00CE1D0B"/>
    <w:rsid w:val="00CE59A6"/>
    <w:rsid w:val="00CF14B8"/>
    <w:rsid w:val="00D24281"/>
    <w:rsid w:val="00D336B4"/>
    <w:rsid w:val="00D536D0"/>
    <w:rsid w:val="00D64BD0"/>
    <w:rsid w:val="00D7065D"/>
    <w:rsid w:val="00D81C6D"/>
    <w:rsid w:val="00D853C8"/>
    <w:rsid w:val="00DA0966"/>
    <w:rsid w:val="00DA0F76"/>
    <w:rsid w:val="00DB5C45"/>
    <w:rsid w:val="00DC65E9"/>
    <w:rsid w:val="00DD28B7"/>
    <w:rsid w:val="00DD50CF"/>
    <w:rsid w:val="00DE6A13"/>
    <w:rsid w:val="00DF415D"/>
    <w:rsid w:val="00E30A23"/>
    <w:rsid w:val="00E325D2"/>
    <w:rsid w:val="00E34577"/>
    <w:rsid w:val="00E46795"/>
    <w:rsid w:val="00E70ADC"/>
    <w:rsid w:val="00E7282D"/>
    <w:rsid w:val="00E847E8"/>
    <w:rsid w:val="00E872BC"/>
    <w:rsid w:val="00E9553F"/>
    <w:rsid w:val="00EB70A1"/>
    <w:rsid w:val="00EB7559"/>
    <w:rsid w:val="00EE2DA2"/>
    <w:rsid w:val="00EF4DBB"/>
    <w:rsid w:val="00F0113C"/>
    <w:rsid w:val="00F05450"/>
    <w:rsid w:val="00F45257"/>
    <w:rsid w:val="00F73AF3"/>
    <w:rsid w:val="00F769D4"/>
    <w:rsid w:val="00F8760D"/>
    <w:rsid w:val="00FB31F8"/>
    <w:rsid w:val="00FE0571"/>
    <w:rsid w:val="00FF49BD"/>
    <w:rsid w:val="3C2221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0"/>
      <w:lang w:val="en-US" w:eastAsia="zh-CN" w:bidi="ar-SA"/>
    </w:rPr>
  </w:style>
  <w:style w:type="character" w:default="1" w:styleId="3">
    <w:name w:val="Default Paragraph Font"/>
    <w:semiHidden/>
    <w:unhideWhenUsed/>
    <w:qFormat/>
    <w:uiPriority w:val="1"/>
  </w:style>
  <w:style w:type="table" w:default="1" w:styleId="2">
    <w:name w:val="Normal Table"/>
    <w:semiHidden/>
    <w:unhideWhenUsed/>
    <w:uiPriority w:val="99"/>
    <w:tblPr>
      <w:tblCellMar>
        <w:top w:w="0" w:type="dxa"/>
        <w:left w:w="108" w:type="dxa"/>
        <w:bottom w:w="0" w:type="dxa"/>
        <w:right w:w="108" w:type="dxa"/>
      </w:tblCellMar>
    </w:tblPr>
  </w:style>
  <w:style w:type="character" w:styleId="4">
    <w:name w:val="Hyperlink"/>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4</Pages>
  <Words>648</Words>
  <Characters>3695</Characters>
  <Lines>30</Lines>
  <Paragraphs>8</Paragraphs>
  <TotalTime>6</TotalTime>
  <ScaleCrop>false</ScaleCrop>
  <LinksUpToDate>false</LinksUpToDate>
  <CharactersWithSpaces>4335</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2019-12-24T08:47:00Z</dcterms:created>
  <dc:creator>User</dc:creator>
  <cp:lastModifiedBy>冰冰nice</cp:lastModifiedBy>
  <dcterms:modified xsi:type="dcterms:W3CDTF">2019-12-31T08:00:34Z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