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800" w:lineRule="exact"/>
        <w:jc w:val="center"/>
        <w:rPr>
          <w:rFonts w:ascii="黑体" w:hAnsi="黑体" w:eastAsia="黑体" w:cs="黑体"/>
          <w:color w:val="941100"/>
          <w:sz w:val="48"/>
          <w:szCs w:val="48"/>
        </w:rPr>
      </w:pPr>
      <w:r>
        <w:rPr>
          <w:rFonts w:hint="eastAsia" w:ascii="Arial Unicode MS" w:hAnsi="Arial Unicode MS"/>
          <w:color w:val="941100"/>
          <w:sz w:val="36"/>
          <w:szCs w:val="36"/>
        </w:rPr>
        <w:t>浙江</w:t>
      </w:r>
      <w:r>
        <w:rPr>
          <w:rFonts w:ascii="Arial Unicode MS" w:hAnsi="Arial Unicode MS"/>
          <w:color w:val="941100"/>
          <w:sz w:val="36"/>
          <w:szCs w:val="36"/>
        </w:rPr>
        <w:t>大学</w:t>
      </w:r>
      <w:r>
        <w:rPr>
          <w:rFonts w:hint="eastAsia" w:ascii="Arial Unicode MS" w:hAnsi="Arial Unicode MS"/>
          <w:color w:val="941100"/>
          <w:sz w:val="36"/>
          <w:szCs w:val="36"/>
        </w:rPr>
        <w:t>品牌战略</w:t>
      </w:r>
      <w:r>
        <w:rPr>
          <w:rFonts w:ascii="Arial Unicode MS" w:hAnsi="Arial Unicode MS"/>
          <w:color w:val="941100"/>
          <w:sz w:val="36"/>
          <w:szCs w:val="36"/>
        </w:rPr>
        <w:t>与</w:t>
      </w:r>
      <w:r>
        <w:rPr>
          <w:rFonts w:hint="eastAsia" w:ascii="Arial Unicode MS" w:hAnsi="Arial Unicode MS"/>
          <w:color w:val="941100"/>
          <w:sz w:val="36"/>
          <w:szCs w:val="36"/>
        </w:rPr>
        <w:t>营销策划专题</w:t>
      </w:r>
      <w:r>
        <w:rPr>
          <w:rFonts w:ascii="Arial Unicode MS" w:hAnsi="Arial Unicode MS"/>
          <w:color w:val="941100"/>
          <w:sz w:val="36"/>
          <w:szCs w:val="36"/>
        </w:rPr>
        <w:t>研修班</w:t>
      </w:r>
    </w:p>
    <w:p>
      <w:pPr>
        <w:pStyle w:val="7"/>
        <w:spacing w:line="240" w:lineRule="auto"/>
        <w:jc w:val="both"/>
        <w:rPr>
          <w:rFonts w:eastAsia="HanziPen TC Bold"/>
          <w:color w:val="941100"/>
          <w:sz w:val="32"/>
          <w:szCs w:val="32"/>
        </w:rPr>
      </w:pPr>
    </w:p>
    <w:p>
      <w:pPr>
        <w:spacing w:line="500" w:lineRule="exact"/>
        <w:ind w:firstLine="480"/>
        <w:rPr>
          <w:rFonts w:ascii="微软雅黑" w:hAnsi="微软雅黑" w:eastAsia="微软雅黑" w:cs="Arial Unicode MS"/>
          <w:color w:val="333333"/>
          <w:sz w:val="30"/>
          <w:szCs w:val="30"/>
          <w:shd w:val="clear" w:color="auto" w:fill="FFFFFF"/>
          <w:lang w:val="zh-CN"/>
        </w:rPr>
      </w:pPr>
      <w:r>
        <w:rPr>
          <w:rFonts w:ascii="Arial Unicode MS" w:hAnsi="Arial Unicode MS" w:eastAsia="HanziPen TC Bold" w:cs="Arial Unicode MS"/>
          <w:color w:val="941100"/>
          <w:sz w:val="30"/>
          <w:szCs w:val="30"/>
          <w:lang w:val="zh-CN"/>
        </w:rPr>
        <w:t>“企业就其本质来说，就是营销和创新，</w:t>
      </w:r>
      <w:r>
        <w:rPr>
          <w:rFonts w:hint="eastAsia" w:ascii="Arial Unicode MS" w:hAnsi="Arial Unicode MS" w:eastAsia="HanziPen TC Bold" w:cs="Arial Unicode MS"/>
          <w:color w:val="941100"/>
          <w:sz w:val="30"/>
          <w:szCs w:val="30"/>
          <w:lang w:val="zh-CN"/>
        </w:rPr>
        <w:t>没有</w:t>
      </w:r>
      <w:r>
        <w:rPr>
          <w:rFonts w:ascii="Arial Unicode MS" w:hAnsi="Arial Unicode MS" w:eastAsia="HanziPen TC Bold" w:cs="Arial Unicode MS"/>
          <w:color w:val="941100"/>
          <w:sz w:val="30"/>
          <w:szCs w:val="30"/>
          <w:lang w:val="zh-CN"/>
        </w:rPr>
        <w:t>其他。”</w:t>
      </w:r>
    </w:p>
    <w:p>
      <w:pPr>
        <w:pStyle w:val="7"/>
        <w:spacing w:line="240" w:lineRule="auto"/>
        <w:jc w:val="right"/>
        <w:rPr>
          <w:rFonts w:eastAsia="HanziPen TC Bold"/>
          <w:color w:val="941100"/>
          <w:sz w:val="32"/>
          <w:szCs w:val="32"/>
        </w:rPr>
      </w:pPr>
      <w:r>
        <w:rPr>
          <w:rFonts w:hint="eastAsia" w:ascii="Arial Unicode MS" w:hAnsi="Arial Unicode MS" w:eastAsia="HanziPen TC Bold" w:cs="Arial Unicode MS"/>
          <w:color w:val="941100"/>
          <w:sz w:val="30"/>
          <w:szCs w:val="30"/>
          <w:lang w:val="zh-CN"/>
        </w:rPr>
        <w:t>——德鲁克</w:t>
      </w:r>
      <w:r>
        <w:rPr>
          <w:rFonts w:ascii="Arial Unicode MS" w:hAnsi="Arial Unicode MS" w:eastAsia="HanziPen TC Bold" w:cs="Arial Unicode MS"/>
          <w:color w:val="941100"/>
          <w:sz w:val="30"/>
          <w:szCs w:val="30"/>
          <w:lang w:val="zh-CN"/>
        </w:rPr>
        <w:t xml:space="preserve">  现代管理学之父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微软雅黑" w:hAnsi="微软雅黑" w:eastAsia="微软雅黑"/>
          <w:color w:val="333333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/>
          <w:color w:val="333333"/>
          <w:shd w:val="clear" w:color="auto" w:fill="FFFFFF"/>
        </w:rPr>
        <w:t>营销是企业经营管理的核心环节。在市场竞争日益激烈的今天，从数字营销到移动商务，从网络销售到社交媒体，企业面临着全新的品牌营销挑战，要想突围，唯有变革与创新。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default" w:ascii="微软雅黑" w:hAnsi="微软雅黑" w:eastAsia="微软雅黑"/>
          <w:color w:val="333333"/>
          <w:shd w:val="clear" w:color="auto" w:fill="FFFFFF"/>
          <w:lang w:val="zh-CN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－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zh-CN" w:eastAsia="zh-CN"/>
        </w:rPr>
        <w:t>企业营销如何搭上新媒体时代的快车？以实现模式创新和终端突围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default" w:ascii="微软雅黑" w:hAnsi="微软雅黑" w:eastAsia="微软雅黑"/>
          <w:color w:val="333333"/>
          <w:shd w:val="clear" w:color="auto" w:fill="FFFFFF"/>
          <w:lang w:val="zh-CN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zh-CN" w:eastAsia="zh-CN"/>
        </w:rPr>
        <w:t>－如何</w:t>
      </w:r>
      <w:r>
        <w:rPr>
          <w:rFonts w:hint="default" w:ascii="微软雅黑" w:hAnsi="微软雅黑" w:eastAsia="微软雅黑"/>
          <w:color w:val="333333"/>
          <w:shd w:val="clear" w:color="auto" w:fill="FFFFFF"/>
          <w:lang w:val="zh-CN" w:eastAsia="zh-CN"/>
        </w:rPr>
        <w:t>理解企业品牌定位、扩大品牌知名度？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zh-CN" w:eastAsia="zh-CN"/>
        </w:rPr>
        <w:t>以不断获得竞争优势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微软雅黑" w:hAnsi="微软雅黑" w:eastAsia="微软雅黑"/>
          <w:color w:val="333333"/>
          <w:shd w:val="clear" w:color="auto" w:fill="FFFFFF"/>
          <w:lang w:val="zh-CN"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zh-CN" w:eastAsia="zh-CN"/>
        </w:rPr>
        <w:t>－如何管理好比自己还优秀的业务团队</w:t>
      </w:r>
      <w:r>
        <w:rPr>
          <w:rFonts w:hint="default" w:ascii="微软雅黑" w:hAnsi="微软雅黑" w:eastAsia="微软雅黑"/>
          <w:color w:val="333333"/>
          <w:shd w:val="clear" w:color="auto" w:fill="FFFFFF"/>
          <w:lang w:val="zh-CN" w:eastAsia="zh-CN"/>
        </w:rPr>
        <w:t>？管理和营销的平衡点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default" w:ascii="微软雅黑" w:hAnsi="微软雅黑" w:eastAsia="微软雅黑"/>
          <w:color w:val="333333"/>
          <w:shd w:val="clear" w:color="auto" w:fill="FFFFFF"/>
          <w:lang w:val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zh-CN" w:eastAsia="zh-CN"/>
        </w:rPr>
        <w:t>浙江大学品牌战略与营销策划专题研修班专为具有战略眼光、关注营销实战的企业高管量身设计，将经典营销理论与案例有机结合，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打造一个“</w:t>
      </w:r>
      <w:r>
        <w:rPr>
          <w:rFonts w:eastAsia="HanziPen TC Bold"/>
          <w:color w:val="941100"/>
          <w:sz w:val="32"/>
          <w:szCs w:val="32"/>
        </w:rPr>
        <w:t>“懂营销+拿业绩+强团队”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”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zh-CN" w:eastAsia="zh-CN"/>
        </w:rPr>
        <w:t>帮助企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业全面提升营销竞争力。项目立足前沿与实践，汇集权威营销思想精华，与营销大师零距离探讨，品味新时代的思维盛宴。</w:t>
      </w:r>
    </w:p>
    <w:bookmarkEnd w:id="0"/>
    <w:p>
      <w:pPr>
        <w:pStyle w:val="9"/>
        <w:spacing w:before="240" w:beforeLines="100"/>
        <w:rPr>
          <w:rFonts w:hint="default" w:ascii="黑体" w:hAnsi="黑体" w:eastAsia="黑体" w:cs="黑体"/>
          <w:color w:val="941100"/>
        </w:rPr>
      </w:pPr>
      <w:r>
        <w:rPr>
          <w:rFonts w:ascii="黑体" w:hAnsi="黑体" w:eastAsia="黑体" w:cs="黑体"/>
          <w:color w:val="941100"/>
        </w:rPr>
        <w:t>研修特色</w:t>
      </w:r>
    </w:p>
    <w:p>
      <w:pPr>
        <w:spacing w:line="500" w:lineRule="exact"/>
        <w:ind w:firstLine="520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b/>
          <w:color w:val="333333"/>
          <w:shd w:val="clear" w:color="auto" w:fill="FFFFFF"/>
        </w:rPr>
        <w:t>模块</w:t>
      </w:r>
      <w:r>
        <w:rPr>
          <w:rFonts w:hint="eastAsia" w:ascii="微软雅黑" w:hAnsi="微软雅黑" w:eastAsia="微软雅黑"/>
          <w:b/>
          <w:color w:val="333333"/>
          <w:shd w:val="clear" w:color="auto" w:fill="FFFFFF"/>
        </w:rPr>
        <w:t>课程</w:t>
      </w:r>
      <w:r>
        <w:rPr>
          <w:rFonts w:ascii="微软雅黑" w:hAnsi="微软雅黑" w:eastAsia="微软雅黑"/>
          <w:b/>
          <w:color w:val="333333"/>
          <w:shd w:val="clear" w:color="auto" w:fill="FFFFFF"/>
        </w:rPr>
        <w:t>：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课程分为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三</w:t>
      </w:r>
      <w:r>
        <w:rPr>
          <w:rFonts w:ascii="微软雅黑" w:hAnsi="微软雅黑" w:eastAsia="微软雅黑"/>
          <w:color w:val="333333"/>
          <w:shd w:val="clear" w:color="auto" w:fill="FFFFFF"/>
        </w:rPr>
        <w:t>个模块，模块之间既相互独立，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又有内在</w:t>
      </w:r>
      <w:r>
        <w:rPr>
          <w:rFonts w:ascii="微软雅黑" w:hAnsi="微软雅黑" w:eastAsia="微软雅黑"/>
          <w:color w:val="333333"/>
          <w:shd w:val="clear" w:color="auto" w:fill="FFFFFF"/>
        </w:rPr>
        <w:t>逻辑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联系</w:t>
      </w:r>
      <w:r>
        <w:rPr>
          <w:rFonts w:ascii="微软雅黑" w:hAnsi="微软雅黑" w:eastAsia="微软雅黑"/>
          <w:color w:val="333333"/>
          <w:shd w:val="clear" w:color="auto" w:fill="FFFFFF"/>
        </w:rPr>
        <w:t>。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每个模块</w:t>
      </w:r>
      <w:r>
        <w:rPr>
          <w:rFonts w:ascii="微软雅黑" w:hAnsi="微软雅黑" w:eastAsia="微软雅黑"/>
          <w:color w:val="333333"/>
          <w:shd w:val="clear" w:color="auto" w:fill="FFFFFF"/>
        </w:rPr>
        <w:t>都有明确的培训目标，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并围绕</w:t>
      </w:r>
      <w:r>
        <w:rPr>
          <w:rFonts w:ascii="微软雅黑" w:hAnsi="微软雅黑" w:eastAsia="微软雅黑"/>
          <w:color w:val="333333"/>
          <w:shd w:val="clear" w:color="auto" w:fill="FFFFFF"/>
        </w:rPr>
        <w:t>内容，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整合</w:t>
      </w:r>
      <w:r>
        <w:rPr>
          <w:rFonts w:ascii="微软雅黑" w:hAnsi="微软雅黑" w:eastAsia="微软雅黑"/>
          <w:color w:val="333333"/>
          <w:shd w:val="clear" w:color="auto" w:fill="FFFFFF"/>
        </w:rPr>
        <w:t>学员经验和相关内容，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构成</w:t>
      </w:r>
      <w:r>
        <w:rPr>
          <w:rFonts w:ascii="微软雅黑" w:hAnsi="微软雅黑" w:eastAsia="微软雅黑"/>
          <w:color w:val="333333"/>
          <w:shd w:val="clear" w:color="auto" w:fill="FFFFFF"/>
        </w:rPr>
        <w:t>相对完整的教学单元；</w:t>
      </w:r>
    </w:p>
    <w:p>
      <w:pPr>
        <w:spacing w:line="500" w:lineRule="exact"/>
        <w:ind w:firstLine="520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333333"/>
          <w:shd w:val="clear" w:color="auto" w:fill="FFFFFF"/>
        </w:rPr>
        <w:t>师资阵容</w:t>
      </w:r>
      <w:r>
        <w:rPr>
          <w:rFonts w:ascii="微软雅黑" w:hAnsi="微软雅黑" w:eastAsia="微软雅黑"/>
          <w:b/>
          <w:color w:val="333333"/>
          <w:shd w:val="clear" w:color="auto" w:fill="FFFFFF"/>
        </w:rPr>
        <w:t>：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知名教授、实战专家、企业高管联袂执教，课程</w:t>
      </w:r>
      <w:r>
        <w:rPr>
          <w:rFonts w:ascii="微软雅黑" w:hAnsi="微软雅黑" w:eastAsia="微软雅黑"/>
          <w:color w:val="333333"/>
          <w:shd w:val="clear" w:color="auto" w:fill="FFFFFF"/>
        </w:rPr>
        <w:t>采用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 xml:space="preserve">专家讲授 + 案例分析 + </w:t>
      </w:r>
      <w:r>
        <w:rPr>
          <w:rFonts w:ascii="微软雅黑" w:hAnsi="微软雅黑" w:eastAsia="微软雅黑"/>
          <w:color w:val="333333"/>
          <w:shd w:val="clear" w:color="auto" w:fill="FFFFFF"/>
        </w:rPr>
        <w:t>结构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化</w:t>
      </w:r>
      <w:r>
        <w:rPr>
          <w:rFonts w:ascii="微软雅黑" w:hAnsi="微软雅黑" w:eastAsia="微软雅黑"/>
          <w:color w:val="333333"/>
          <w:shd w:val="clear" w:color="auto" w:fill="FFFFFF"/>
        </w:rPr>
        <w:t>研讨+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实战模拟</w:t>
      </w:r>
      <w:r>
        <w:rPr>
          <w:rFonts w:ascii="微软雅黑" w:hAnsi="微软雅黑" w:eastAsia="微软雅黑"/>
          <w:color w:val="333333"/>
          <w:shd w:val="clear" w:color="auto" w:fill="FFFFFF"/>
        </w:rPr>
        <w:t>等教学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模式</w:t>
      </w:r>
      <w:r>
        <w:rPr>
          <w:rFonts w:ascii="微软雅黑" w:hAnsi="微软雅黑" w:eastAsia="微软雅黑"/>
          <w:color w:val="333333"/>
          <w:shd w:val="clear" w:color="auto" w:fill="FFFFFF"/>
        </w:rPr>
        <w:t>；</w:t>
      </w:r>
    </w:p>
    <w:p>
      <w:pPr>
        <w:spacing w:line="500" w:lineRule="exact"/>
        <w:ind w:firstLine="520"/>
        <w:rPr>
          <w:rFonts w:ascii="微软雅黑" w:hAnsi="微软雅黑" w:eastAsia="微软雅黑"/>
          <w:color w:val="333333"/>
          <w:sz w:val="21"/>
          <w:szCs w:val="21"/>
          <w:shd w:val="clear" w:color="auto" w:fill="FFFFFF"/>
        </w:rPr>
      </w:pPr>
      <w:r>
        <w:rPr>
          <w:rFonts w:ascii="微软雅黑" w:hAnsi="微软雅黑" w:eastAsia="微软雅黑"/>
          <w:b/>
          <w:color w:val="333333"/>
          <w:shd w:val="clear" w:color="auto" w:fill="FFFFFF"/>
        </w:rPr>
        <w:t>交流平台：</w:t>
      </w:r>
      <w:r>
        <w:rPr>
          <w:rFonts w:ascii="微软雅黑" w:hAnsi="微软雅黑" w:eastAsia="微软雅黑"/>
          <w:color w:val="333333"/>
          <w:shd w:val="clear" w:color="auto" w:fill="FFFFFF"/>
        </w:rPr>
        <w:t>依托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浙江大学继续教育学院十七年企业家培训经验，构建学习资源生态圈，与校友会、俱乐部、区域分会等同学组织，智慧碰撞、资源共享。</w:t>
      </w:r>
    </w:p>
    <w:p>
      <w:pPr>
        <w:pStyle w:val="9"/>
        <w:spacing w:before="360" w:beforeLines="150" w:after="120" w:afterLines="50"/>
        <w:rPr>
          <w:rFonts w:hint="default" w:ascii="黑体" w:hAnsi="黑体" w:eastAsia="黑体" w:cs="黑体"/>
          <w:color w:val="941100"/>
        </w:rPr>
      </w:pPr>
      <w:r>
        <w:rPr>
          <w:rFonts w:ascii="黑体" w:hAnsi="黑体" w:eastAsia="黑体" w:cs="黑体"/>
          <w:color w:val="941100"/>
        </w:rPr>
        <w:t>学员收益</w:t>
      </w:r>
    </w:p>
    <w:p>
      <w:pPr>
        <w:pStyle w:val="10"/>
        <w:numPr>
          <w:ilvl w:val="0"/>
          <w:numId w:val="1"/>
        </w:numPr>
        <w:shd w:val="clear" w:color="auto" w:fill="FFFFFF"/>
        <w:spacing w:line="500" w:lineRule="exact"/>
        <w:ind w:firstLineChars="0"/>
        <w:outlineLvl w:val="2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ascii="微软雅黑" w:hAnsi="微软雅黑" w:eastAsia="微软雅黑"/>
          <w:color w:val="333333"/>
          <w:shd w:val="clear" w:color="auto" w:fill="FFFFFF"/>
          <w:lang w:eastAsia="zh-CN"/>
        </w:rPr>
        <w:t>探寻营销的变与不变，构建对复杂领域的营销认知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架构</w:t>
      </w:r>
      <w:r>
        <w:rPr>
          <w:rFonts w:ascii="微软雅黑" w:hAnsi="微软雅黑" w:eastAsia="微软雅黑"/>
          <w:color w:val="333333"/>
          <w:shd w:val="clear" w:color="auto" w:fill="FFFFFF"/>
          <w:lang w:eastAsia="zh-CN"/>
        </w:rPr>
        <w:t>；</w:t>
      </w:r>
    </w:p>
    <w:p>
      <w:pPr>
        <w:pStyle w:val="10"/>
        <w:numPr>
          <w:ilvl w:val="0"/>
          <w:numId w:val="1"/>
        </w:numPr>
        <w:shd w:val="clear" w:color="auto" w:fill="FFFFFF"/>
        <w:spacing w:line="500" w:lineRule="exact"/>
        <w:ind w:firstLineChars="0"/>
        <w:outlineLvl w:val="2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ascii="微软雅黑" w:hAnsi="微软雅黑" w:eastAsia="微软雅黑"/>
          <w:color w:val="333333"/>
          <w:shd w:val="clear" w:color="auto" w:fill="FFFFFF"/>
          <w:lang w:eastAsia="zh-CN"/>
        </w:rPr>
        <w:t>了解企业营销的整体流程、模型和营销增长的变革方法。诸如定位、品牌资产的建设、产品的开发和组合打发等，明白很多你陌生但常见的4P、STP、4R等内涵；</w:t>
      </w:r>
    </w:p>
    <w:p>
      <w:pPr>
        <w:pStyle w:val="10"/>
        <w:numPr>
          <w:ilvl w:val="0"/>
          <w:numId w:val="1"/>
        </w:numPr>
        <w:shd w:val="clear" w:color="auto" w:fill="FFFFFF"/>
        <w:spacing w:line="500" w:lineRule="exact"/>
        <w:ind w:firstLineChars="0"/>
        <w:outlineLvl w:val="2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ascii="微软雅黑" w:hAnsi="微软雅黑" w:eastAsia="微软雅黑"/>
          <w:color w:val="333333"/>
          <w:shd w:val="clear" w:color="auto" w:fill="FFFFFF"/>
          <w:lang w:eastAsia="zh-CN"/>
        </w:rPr>
        <w:t>找到互联网时代营销实践落地方法。如你会知道诸如阶梯法、客户体验地图等诸多方法，以及它们该在何时如何运用；</w:t>
      </w:r>
    </w:p>
    <w:p>
      <w:pPr>
        <w:pStyle w:val="10"/>
        <w:numPr>
          <w:ilvl w:val="0"/>
          <w:numId w:val="1"/>
        </w:numPr>
        <w:shd w:val="clear" w:color="auto" w:fill="FFFFFF"/>
        <w:spacing w:line="500" w:lineRule="exact"/>
        <w:ind w:firstLineChars="0"/>
        <w:outlineLvl w:val="2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ascii="微软雅黑" w:hAnsi="微软雅黑" w:eastAsia="微软雅黑"/>
          <w:color w:val="333333"/>
          <w:shd w:val="clear" w:color="auto" w:fill="FFFFFF"/>
          <w:lang w:eastAsia="zh-CN"/>
        </w:rPr>
        <w:t>接触新时代下的营销，诸如新零售、数字化时代的营销战略和社群营销。</w:t>
      </w:r>
    </w:p>
    <w:p>
      <w:pPr>
        <w:pStyle w:val="9"/>
        <w:spacing w:before="240" w:beforeLines="100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ascii="黑体" w:hAnsi="黑体" w:eastAsia="黑体" w:cs="黑体"/>
          <w:color w:val="941100"/>
        </w:rPr>
        <w:t>研修对象</w:t>
      </w:r>
    </w:p>
    <w:p>
      <w:pPr>
        <w:pStyle w:val="10"/>
        <w:numPr>
          <w:ilvl w:val="0"/>
          <w:numId w:val="2"/>
        </w:numPr>
        <w:shd w:val="clear" w:color="auto" w:fill="FFFFFF"/>
        <w:spacing w:line="500" w:lineRule="exact"/>
        <w:ind w:left="420" w:leftChars="0" w:hanging="420" w:firstLineChars="0"/>
        <w:outlineLvl w:val="2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</w:rPr>
        <w:t>首席营销官</w:t>
      </w:r>
      <w:r>
        <w:rPr>
          <w:rFonts w:ascii="微软雅黑" w:hAnsi="微软雅黑" w:eastAsia="微软雅黑"/>
          <w:color w:val="333333"/>
          <w:shd w:val="clear" w:color="auto" w:fill="FFFFFF"/>
        </w:rPr>
        <w:t>、营销副总、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销售总监</w:t>
      </w:r>
      <w:r>
        <w:rPr>
          <w:rFonts w:ascii="微软雅黑" w:hAnsi="微软雅黑" w:eastAsia="微软雅黑"/>
          <w:color w:val="333333"/>
          <w:shd w:val="clear" w:color="auto" w:fill="FFFFFF"/>
        </w:rPr>
        <w:t>、分公司经理、大区经理；</w:t>
      </w:r>
    </w:p>
    <w:p>
      <w:pPr>
        <w:pStyle w:val="10"/>
        <w:numPr>
          <w:ilvl w:val="0"/>
          <w:numId w:val="2"/>
        </w:numPr>
        <w:shd w:val="clear" w:color="auto" w:fill="FFFFFF"/>
        <w:spacing w:line="500" w:lineRule="exact"/>
        <w:ind w:left="420" w:leftChars="0" w:hanging="420" w:firstLineChars="0"/>
        <w:outlineLvl w:val="2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>成长型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企业</w:t>
      </w:r>
      <w:r>
        <w:rPr>
          <w:rFonts w:ascii="微软雅黑" w:hAnsi="微软雅黑" w:eastAsia="微软雅黑"/>
          <w:color w:val="333333"/>
          <w:shd w:val="clear" w:color="auto" w:fill="FFFFFF"/>
        </w:rPr>
        <w:t>总经理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、</w:t>
      </w:r>
      <w:r>
        <w:rPr>
          <w:rFonts w:ascii="微软雅黑" w:hAnsi="微软雅黑" w:eastAsia="微软雅黑"/>
          <w:color w:val="333333"/>
          <w:shd w:val="clear" w:color="auto" w:fill="FFFFFF"/>
        </w:rPr>
        <w:t>家族企业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传承人；</w:t>
      </w:r>
    </w:p>
    <w:p>
      <w:pPr>
        <w:pStyle w:val="10"/>
        <w:numPr>
          <w:ilvl w:val="0"/>
          <w:numId w:val="2"/>
        </w:numPr>
        <w:shd w:val="clear" w:color="auto" w:fill="FFFFFF"/>
        <w:spacing w:line="500" w:lineRule="exact"/>
        <w:ind w:left="420" w:leftChars="0" w:hanging="420" w:firstLineChars="0"/>
        <w:outlineLvl w:val="2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</w:rPr>
        <w:t>其他</w:t>
      </w:r>
      <w:r>
        <w:rPr>
          <w:rFonts w:ascii="微软雅黑" w:hAnsi="微软雅黑" w:eastAsia="微软雅黑"/>
          <w:color w:val="333333"/>
          <w:shd w:val="clear" w:color="auto" w:fill="FFFFFF"/>
        </w:rPr>
        <w:t>渴望提升营销智慧的管理者。</w:t>
      </w:r>
    </w:p>
    <w:p>
      <w:pPr>
        <w:pStyle w:val="9"/>
        <w:spacing w:before="240" w:beforeLines="100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黑体" w:hAnsi="黑体" w:eastAsia="黑体" w:cs="黑体"/>
          <w:color w:val="941100"/>
        </w:rPr>
        <w:t>研修安排</w:t>
      </w:r>
    </w:p>
    <w:p>
      <w:pPr>
        <w:pStyle w:val="10"/>
        <w:numPr>
          <w:ilvl w:val="0"/>
          <w:numId w:val="3"/>
        </w:numPr>
        <w:shd w:val="clear" w:color="auto" w:fill="FFFFFF"/>
        <w:spacing w:line="500" w:lineRule="exact"/>
        <w:ind w:left="420" w:leftChars="0" w:hanging="420" w:firstLineChars="0"/>
        <w:outlineLvl w:val="2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>培训学制：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10个月</w:t>
      </w:r>
      <w:r>
        <w:rPr>
          <w:rFonts w:hint="default" w:ascii="微软雅黑" w:hAnsi="微软雅黑" w:eastAsia="微软雅黑"/>
          <w:color w:val="333333"/>
          <w:shd w:val="clear" w:color="auto" w:fill="FFFFFF"/>
          <w:lang w:eastAsia="zh-CN"/>
        </w:rPr>
        <w:t>；</w:t>
      </w:r>
    </w:p>
    <w:p>
      <w:pPr>
        <w:pStyle w:val="10"/>
        <w:numPr>
          <w:ilvl w:val="0"/>
          <w:numId w:val="3"/>
        </w:numPr>
        <w:shd w:val="clear" w:color="auto" w:fill="FFFFFF"/>
        <w:spacing w:line="500" w:lineRule="exact"/>
        <w:ind w:left="420" w:leftChars="0" w:hanging="420" w:firstLineChars="0"/>
        <w:outlineLvl w:val="2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 xml:space="preserve">开学时间： </w:t>
      </w:r>
      <w:r>
        <w:rPr>
          <w:rFonts w:hint="default" w:ascii="微软雅黑" w:hAnsi="微软雅黑" w:eastAsia="微软雅黑"/>
          <w:color w:val="333333"/>
          <w:u w:val="single"/>
          <w:shd w:val="clear" w:color="auto" w:fill="FFFFFF"/>
        </w:rPr>
        <w:t xml:space="preserve">          </w:t>
      </w:r>
      <w:r>
        <w:rPr>
          <w:rFonts w:ascii="微软雅黑" w:hAnsi="微软雅黑" w:eastAsia="微软雅黑"/>
          <w:color w:val="333333"/>
          <w:shd w:val="clear" w:color="auto" w:fill="FFFFFF"/>
          <w:lang w:val="en-US"/>
        </w:rPr>
        <w:t>年</w:t>
      </w:r>
      <w:r>
        <w:rPr>
          <w:rFonts w:hint="default" w:ascii="微软雅黑" w:hAnsi="微软雅黑" w:eastAsia="微软雅黑"/>
          <w:color w:val="333333"/>
          <w:u w:val="single"/>
          <w:shd w:val="clear" w:color="auto" w:fill="FFFFFF"/>
          <w:lang w:val="en-US"/>
        </w:rPr>
        <w:t xml:space="preserve">        </w:t>
      </w:r>
      <w:r>
        <w:rPr>
          <w:rFonts w:ascii="微软雅黑" w:hAnsi="微软雅黑" w:eastAsia="微软雅黑"/>
          <w:color w:val="333333"/>
          <w:shd w:val="clear" w:color="auto" w:fill="FFFFFF"/>
          <w:lang w:val="en-US"/>
        </w:rPr>
        <w:t>月</w:t>
      </w:r>
      <w:r>
        <w:rPr>
          <w:rFonts w:ascii="微软雅黑" w:hAnsi="微软雅黑" w:eastAsia="微软雅黑"/>
          <w:color w:val="333333"/>
          <w:shd w:val="clear" w:color="auto" w:fill="FFFFFF"/>
        </w:rPr>
        <w:t>；</w:t>
      </w:r>
    </w:p>
    <w:p>
      <w:pPr>
        <w:pStyle w:val="10"/>
        <w:numPr>
          <w:ilvl w:val="0"/>
          <w:numId w:val="3"/>
        </w:numPr>
        <w:shd w:val="clear" w:color="auto" w:fill="FFFFFF"/>
        <w:spacing w:line="500" w:lineRule="exact"/>
        <w:ind w:left="420" w:leftChars="0" w:hanging="420" w:firstLineChars="0"/>
        <w:outlineLvl w:val="2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>学习费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用：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>2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8000</w:t>
      </w:r>
      <w:r>
        <w:rPr>
          <w:rFonts w:ascii="微软雅黑" w:hAnsi="微软雅黑" w:eastAsia="微软雅黑"/>
          <w:color w:val="333333"/>
          <w:shd w:val="clear" w:color="auto" w:fill="FFFFFF"/>
        </w:rPr>
        <w:t>元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/</w:t>
      </w:r>
      <w:r>
        <w:rPr>
          <w:rFonts w:ascii="微软雅黑" w:hAnsi="微软雅黑" w:eastAsia="微软雅黑"/>
          <w:color w:val="333333"/>
          <w:shd w:val="clear" w:color="auto" w:fill="FFFFFF"/>
        </w:rPr>
        <w:t>人；</w:t>
      </w:r>
    </w:p>
    <w:p>
      <w:pPr>
        <w:pStyle w:val="10"/>
        <w:numPr>
          <w:ilvl w:val="0"/>
          <w:numId w:val="0"/>
        </w:numPr>
        <w:shd w:val="clear" w:color="auto" w:fill="FFFFFF"/>
        <w:spacing w:line="500" w:lineRule="exact"/>
        <w:ind w:left="120" w:leftChars="0"/>
        <w:outlineLvl w:val="2"/>
        <w:rPr>
          <w:rFonts w:hint="default" w:ascii="微软雅黑" w:hAnsi="微软雅黑" w:eastAsia="微软雅黑"/>
          <w:color w:val="333333"/>
          <w:shd w:val="clear" w:color="auto" w:fill="FFFFFF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</w:rPr>
        <w:t>（包括学费、教材费、教务费、通讯录、书包、证书费和其他资源费。食宿交通自理）</w:t>
      </w:r>
    </w:p>
    <w:p>
      <w:pPr>
        <w:pStyle w:val="10"/>
        <w:numPr>
          <w:ilvl w:val="0"/>
          <w:numId w:val="4"/>
        </w:numPr>
        <w:shd w:val="clear" w:color="auto" w:fill="FFFFFF"/>
        <w:spacing w:line="500" w:lineRule="exact"/>
        <w:ind w:left="420" w:leftChars="0" w:hanging="420" w:firstLineChars="0"/>
        <w:outlineLvl w:val="2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>培训方式：专题课程+案例分析+分组研讨；</w:t>
      </w:r>
    </w:p>
    <w:p>
      <w:pPr>
        <w:pStyle w:val="10"/>
        <w:numPr>
          <w:ilvl w:val="0"/>
          <w:numId w:val="4"/>
        </w:numPr>
        <w:shd w:val="clear" w:color="auto" w:fill="FFFFFF"/>
        <w:spacing w:line="500" w:lineRule="exact"/>
        <w:ind w:left="420" w:leftChars="0" w:hanging="420" w:firstLineChars="0"/>
        <w:outlineLvl w:val="2"/>
        <w:rPr>
          <w:rFonts w:hint="default" w:ascii="微软雅黑" w:hAnsi="微软雅黑" w:eastAsia="微软雅黑"/>
          <w:color w:val="333333"/>
          <w:shd w:val="clear" w:color="auto" w:fill="FFFFFF"/>
          <w:lang w:val="en-US" w:eastAsia="zh-CN"/>
        </w:rPr>
      </w:pPr>
      <w:r>
        <w:rPr>
          <w:rFonts w:hint="default" w:ascii="微软雅黑" w:hAnsi="微软雅黑" w:eastAsia="微软雅黑"/>
          <w:color w:val="333333"/>
          <w:shd w:val="clear" w:color="auto" w:fill="FFFFFF"/>
        </w:rPr>
        <w:t>证书授予：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完成规定课程后颁发浙江大学结业证书，由浙江大学统一编号</w:t>
      </w:r>
      <w:r>
        <w:rPr>
          <w:rFonts w:hint="default" w:ascii="微软雅黑" w:hAnsi="微软雅黑" w:eastAsia="微软雅黑"/>
          <w:color w:val="333333"/>
          <w:shd w:val="clear" w:color="auto" w:fill="FFFFFF"/>
        </w:rPr>
        <w:t>。</w:t>
      </w:r>
    </w:p>
    <w:p>
      <w:pPr>
        <w:pStyle w:val="9"/>
        <w:spacing w:before="360" w:beforeLines="150" w:after="120" w:afterLines="50"/>
        <w:rPr>
          <w:rFonts w:ascii="黑体" w:hAnsi="黑体" w:eastAsia="黑体" w:cs="黑体"/>
          <w:color w:val="941100"/>
        </w:rPr>
      </w:pPr>
    </w:p>
    <w:p>
      <w:pPr>
        <w:pStyle w:val="9"/>
        <w:spacing w:before="360" w:beforeLines="150" w:after="120" w:afterLines="50"/>
        <w:rPr>
          <w:rFonts w:ascii="黑体" w:hAnsi="黑体" w:eastAsia="黑体" w:cs="黑体"/>
          <w:color w:val="941100"/>
        </w:rPr>
      </w:pPr>
    </w:p>
    <w:p>
      <w:pPr>
        <w:pStyle w:val="9"/>
        <w:spacing w:before="360" w:beforeLines="150" w:after="120" w:afterLines="50"/>
        <w:rPr>
          <w:rFonts w:hint="default" w:ascii="黑体" w:hAnsi="黑体" w:eastAsia="黑体" w:cs="黑体"/>
          <w:color w:val="941100"/>
        </w:rPr>
      </w:pPr>
      <w:r>
        <w:rPr>
          <w:rFonts w:ascii="黑体" w:hAnsi="黑体" w:eastAsia="黑体" w:cs="黑体"/>
          <w:color w:val="941100"/>
        </w:rPr>
        <w:t>课程模块</w:t>
      </w:r>
    </w:p>
    <w:tbl>
      <w:tblPr>
        <w:tblStyle w:val="5"/>
        <w:tblW w:w="8783" w:type="dxa"/>
        <w:tblInd w:w="0" w:type="dxa"/>
        <w:tblBorders>
          <w:top w:val="single" w:color="A8D08D" w:themeColor="accent6" w:themeTint="99" w:sz="4" w:space="0"/>
          <w:left w:val="single" w:color="A8D08D" w:themeColor="accent6" w:themeTint="99" w:sz="4" w:space="0"/>
          <w:bottom w:val="single" w:color="A8D08D" w:themeColor="accent6" w:themeTint="99" w:sz="4" w:space="0"/>
          <w:right w:val="single" w:color="A8D08D" w:themeColor="accent6" w:themeTint="99" w:sz="4" w:space="0"/>
          <w:insideH w:val="single" w:color="A8D08D" w:themeColor="accent6" w:themeTint="99" w:sz="6" w:space="0"/>
          <w:insideV w:val="single" w:color="A8D08D" w:themeColor="accent6" w:themeTint="99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4358"/>
      </w:tblGrid>
      <w:tr>
        <w:tblPrEx>
          <w:tblBorders>
            <w:top w:val="single" w:color="A8D08D" w:themeColor="accent6" w:themeTint="99" w:sz="4" w:space="0"/>
            <w:left w:val="single" w:color="A8D08D" w:themeColor="accent6" w:themeTint="99" w:sz="4" w:space="0"/>
            <w:bottom w:val="single" w:color="A8D08D" w:themeColor="accent6" w:themeTint="99" w:sz="4" w:space="0"/>
            <w:right w:val="single" w:color="A8D08D" w:themeColor="accent6" w:themeTint="99" w:sz="4" w:space="0"/>
            <w:insideH w:val="single" w:color="A8D08D" w:themeColor="accent6" w:themeTint="99" w:sz="6" w:space="0"/>
            <w:insideV w:val="single" w:color="A8D08D" w:themeColor="accent6" w:themeTint="99" w:sz="6" w:space="0"/>
          </w:tblBorders>
        </w:tblPrEx>
        <w:trPr>
          <w:trHeight w:val="680" w:hRule="exact"/>
        </w:trPr>
        <w:tc>
          <w:tcPr>
            <w:tcW w:w="8783" w:type="dxa"/>
            <w:gridSpan w:val="2"/>
            <w:tcBorders>
              <w:top w:val="single" w:color="A8D08D" w:themeColor="accent6" w:themeTint="99" w:sz="4" w:space="0"/>
              <w:bottom w:val="single" w:color="A8D08D" w:themeColor="accent6" w:themeTint="99" w:sz="6" w:space="0"/>
            </w:tcBorders>
            <w:shd w:val="clear" w:color="auto" w:fill="A8D08D" w:themeFill="accent6" w:themeFillTint="99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 w:ascii="微软雅黑" w:hAnsi="微软雅黑" w:eastAsia="微软雅黑" w:cs="Times New Roman"/>
                <w:b/>
                <w:color w:val="404040" w:themeColor="text1" w:themeTint="BF"/>
                <w:sz w:val="28"/>
                <w:szCs w:val="28"/>
                <w:shd w:val="clear" w:color="auto" w:fill="A8D08D" w:themeFill="accent6" w:themeFillTint="99"/>
                <w:lang w:val="zh-CN" w:eastAsia="zh-CN" w:bidi="ar-SA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第一模块：新零售数字化创新</w:t>
            </w:r>
          </w:p>
        </w:tc>
      </w:tr>
      <w:tr>
        <w:trPr>
          <w:trHeight w:val="680" w:hRule="exact"/>
        </w:trPr>
        <w:tc>
          <w:tcPr>
            <w:tcW w:w="4425" w:type="dxa"/>
            <w:vMerge w:val="restart"/>
            <w:tcBorders>
              <w:top w:val="single" w:color="A8D08D" w:themeColor="accent6" w:themeTint="99" w:sz="6" w:space="0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新零售下的战略变革思维</w:t>
            </w:r>
          </w:p>
        </w:tc>
        <w:tc>
          <w:tcPr>
            <w:tcW w:w="4358" w:type="dxa"/>
            <w:tcBorders>
              <w:top w:val="single" w:color="A8D08D" w:themeColor="accent6" w:themeTint="99" w:sz="6" w:space="0"/>
            </w:tcBorders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移动互联网特征及商业模式创新</w:t>
            </w:r>
          </w:p>
        </w:tc>
      </w:tr>
      <w:tr>
        <w:trPr>
          <w:trHeight w:val="680" w:hRule="exact"/>
        </w:trPr>
        <w:tc>
          <w:tcPr>
            <w:tcW w:w="4425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  <w:tc>
          <w:tcPr>
            <w:tcW w:w="435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大数据价值链商机应用及案例</w:t>
            </w:r>
          </w:p>
        </w:tc>
      </w:tr>
      <w:tr>
        <w:trPr>
          <w:trHeight w:val="680" w:hRule="exact"/>
        </w:trPr>
        <w:tc>
          <w:tcPr>
            <w:tcW w:w="4425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  <w:tc>
          <w:tcPr>
            <w:tcW w:w="435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突发</w:t>
            </w:r>
            <w:r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性</w:t>
            </w: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事件舆情处置和危机公关</w:t>
            </w:r>
          </w:p>
        </w:tc>
      </w:tr>
      <w:tr>
        <w:trPr>
          <w:trHeight w:val="680" w:hRule="exact"/>
        </w:trPr>
        <w:tc>
          <w:tcPr>
            <w:tcW w:w="4425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新零售的本质与未来机会</w:t>
            </w:r>
          </w:p>
        </w:tc>
        <w:tc>
          <w:tcPr>
            <w:tcW w:w="435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新零售的前世今生</w:t>
            </w:r>
            <w:r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与</w:t>
            </w: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那些坑</w:t>
            </w:r>
          </w:p>
        </w:tc>
      </w:tr>
      <w:tr>
        <w:trPr>
          <w:trHeight w:val="680" w:hRule="exact"/>
        </w:trPr>
        <w:tc>
          <w:tcPr>
            <w:tcW w:w="4425" w:type="dxa"/>
            <w:vMerge w:val="continue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35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新零售运营的必备要素</w:t>
            </w:r>
          </w:p>
        </w:tc>
      </w:tr>
      <w:tr>
        <w:trPr>
          <w:trHeight w:val="680" w:hRule="exact"/>
        </w:trPr>
        <w:tc>
          <w:tcPr>
            <w:tcW w:w="4425" w:type="dxa"/>
            <w:vMerge w:val="continue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35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用户数字化和消费者资产运营</w:t>
            </w:r>
          </w:p>
        </w:tc>
      </w:tr>
      <w:tr>
        <w:trPr>
          <w:trHeight w:val="680" w:hRule="exact"/>
        </w:trPr>
        <w:tc>
          <w:tcPr>
            <w:tcW w:w="4425" w:type="dxa"/>
            <w:vMerge w:val="restart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新零售商品、服务和供应链的重构</w:t>
            </w:r>
          </w:p>
        </w:tc>
        <w:tc>
          <w:tcPr>
            <w:tcW w:w="435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新零售给传统企业带来的挑战</w:t>
            </w:r>
            <w:r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与</w:t>
            </w: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机遇</w:t>
            </w:r>
          </w:p>
        </w:tc>
      </w:tr>
      <w:tr>
        <w:trPr>
          <w:trHeight w:val="680" w:hRule="exact"/>
        </w:trPr>
        <w:tc>
          <w:tcPr>
            <w:tcW w:w="4425" w:type="dxa"/>
            <w:vMerge w:val="continue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35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大中小微企业的新零售实战案例解读</w:t>
            </w:r>
          </w:p>
        </w:tc>
      </w:tr>
      <w:tr>
        <w:trPr>
          <w:trHeight w:val="680" w:hRule="exact"/>
        </w:trPr>
        <w:tc>
          <w:tcPr>
            <w:tcW w:w="4425" w:type="dxa"/>
            <w:vMerge w:val="continue"/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435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新零售的产品服务案例解析</w:t>
            </w:r>
          </w:p>
        </w:tc>
      </w:tr>
    </w:tbl>
    <w:p>
      <w:pPr>
        <w:pStyle w:val="8"/>
        <w:rPr>
          <w:rFonts w:hint="default"/>
        </w:rPr>
      </w:pPr>
    </w:p>
    <w:tbl>
      <w:tblPr>
        <w:tblStyle w:val="5"/>
        <w:tblW w:w="8783" w:type="dxa"/>
        <w:tblInd w:w="0" w:type="dxa"/>
        <w:tbl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single" w:color="70AD47" w:themeColor="accent6" w:sz="4" w:space="0"/>
          <w:insideV w:val="single" w:color="70AD47" w:themeColor="accent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388"/>
      </w:tblGrid>
      <w:tr>
        <w:trPr>
          <w:trHeight w:val="680" w:hRule="exact"/>
        </w:trPr>
        <w:tc>
          <w:tcPr>
            <w:tcW w:w="8783" w:type="dxa"/>
            <w:gridSpan w:val="2"/>
            <w:shd w:val="clear" w:color="auto" w:fill="A8D08D" w:themeFill="accent6" w:themeFillTint="99"/>
          </w:tcPr>
          <w:p>
            <w:pPr>
              <w:pStyle w:val="8"/>
              <w:jc w:val="center"/>
              <w:rPr>
                <w:rFonts w:hint="default"/>
                <w:shd w:val="clear" w:color="auto" w:fill="C5E0B3" w:themeFill="accent6" w:themeFillTint="66"/>
              </w:rPr>
            </w:pPr>
            <w:r>
              <w:rPr>
                <w:rFonts w:hint="default" w:ascii="微软雅黑" w:hAnsi="微软雅黑" w:eastAsia="微软雅黑" w:cs="Times New Roman"/>
                <w:b/>
                <w:color w:val="404040" w:themeColor="text1" w:themeTint="BF"/>
                <w:sz w:val="28"/>
                <w:szCs w:val="28"/>
                <w:shd w:val="clear" w:color="auto" w:fill="A8D08D" w:themeFill="accent6" w:themeFillTint="99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第二模块：</w:t>
            </w: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28"/>
                <w:szCs w:val="28"/>
                <w:shd w:val="clear" w:color="auto" w:fill="A8D08D" w:themeFill="accent6" w:themeFillTint="99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品牌</w:t>
            </w:r>
            <w:r>
              <w:rPr>
                <w:rFonts w:hint="default" w:ascii="微软雅黑" w:hAnsi="微软雅黑" w:eastAsia="微软雅黑" w:cs="Times New Roman"/>
                <w:b/>
                <w:color w:val="404040" w:themeColor="text1" w:themeTint="BF"/>
                <w:sz w:val="28"/>
                <w:szCs w:val="28"/>
                <w:shd w:val="clear" w:color="auto" w:fill="A8D08D" w:themeFill="accent6" w:themeFillTint="99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与传播的</w:t>
            </w: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28"/>
                <w:szCs w:val="28"/>
                <w:shd w:val="clear" w:color="auto" w:fill="A8D08D" w:themeFill="accent6" w:themeFillTint="99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力量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品牌传播策划与创意营销</w:t>
            </w: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如何设计品牌传播架构并进行讯息提炼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如何进行创意营销沟通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如何在互联网环境中进行品牌整合营销策略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如何提高顾客的品牌忠诚度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restart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IP时代的营销方法论</w:t>
            </w: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超级IP商业价值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社群思维和IP化生存（思维/IP定位）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朋友圈和个人品牌打造（拉新/养熟）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  <w:lang w:val="zh-CN" w:eastAsia="zh-CN" w:bidi="ar-SA"/>
              </w:rPr>
              <w:t>微信群和社群运营（成交/裂变/运营）</w:t>
            </w:r>
          </w:p>
        </w:tc>
      </w:tr>
    </w:tbl>
    <w:p>
      <w:pPr>
        <w:pStyle w:val="8"/>
        <w:rPr>
          <w:rFonts w:hint="default"/>
        </w:rPr>
      </w:pPr>
    </w:p>
    <w:tbl>
      <w:tblPr>
        <w:tblStyle w:val="5"/>
        <w:tblW w:w="8783" w:type="dxa"/>
        <w:tblInd w:w="0" w:type="dxa"/>
        <w:tbl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single" w:color="70AD47" w:themeColor="accent6" w:sz="4" w:space="0"/>
          <w:insideV w:val="single" w:color="70AD47" w:themeColor="accent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388"/>
      </w:tblGrid>
      <w:tr>
        <w:trPr>
          <w:trHeight w:val="716" w:hRule="exact"/>
        </w:trPr>
        <w:tc>
          <w:tcPr>
            <w:tcW w:w="8783" w:type="dxa"/>
            <w:gridSpan w:val="2"/>
            <w:shd w:val="clear" w:color="auto" w:fill="A8D08D" w:themeFill="accent6" w:themeFillTint="99"/>
            <w:vAlign w:val="center"/>
          </w:tcPr>
          <w:p>
            <w:pPr>
              <w:pStyle w:val="8"/>
              <w:jc w:val="center"/>
              <w:rPr>
                <w:rFonts w:hint="default"/>
                <w:shd w:val="clear" w:color="auto" w:fill="A8D08D" w:themeFill="accent6" w:themeFillTint="99"/>
              </w:rPr>
            </w:pPr>
            <w:r>
              <w:rPr>
                <w:rFonts w:hint="default" w:ascii="微软雅黑" w:hAnsi="微软雅黑" w:eastAsia="微软雅黑" w:cs="Times New Roman"/>
                <w:b/>
                <w:color w:val="404040" w:themeColor="text1" w:themeTint="BF"/>
                <w:sz w:val="28"/>
                <w:szCs w:val="28"/>
                <w:shd w:val="clear" w:color="auto" w:fill="A8D08D" w:themeFill="accent6" w:themeFillTint="99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第三模块：</w:t>
            </w:r>
            <w:r>
              <w:rPr>
                <w:rFonts w:ascii="微软雅黑" w:hAnsi="微软雅黑" w:eastAsia="微软雅黑" w:cs="Times New Roman"/>
                <w:b/>
                <w:color w:val="404040" w:themeColor="text1" w:themeTint="BF"/>
                <w:sz w:val="28"/>
                <w:szCs w:val="28"/>
                <w:shd w:val="clear" w:color="auto" w:fill="A8D08D" w:themeFill="accent6" w:themeFillTint="99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销售</w:t>
            </w:r>
            <w:r>
              <w:rPr>
                <w:rFonts w:hint="default" w:ascii="微软雅黑" w:hAnsi="微软雅黑" w:eastAsia="微软雅黑" w:cs="Times New Roman"/>
                <w:b/>
                <w:color w:val="404040" w:themeColor="text1" w:themeTint="BF"/>
                <w:sz w:val="28"/>
                <w:szCs w:val="28"/>
                <w:shd w:val="clear" w:color="auto" w:fill="A8D08D" w:themeFill="accent6" w:themeFillTint="99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铁军的打造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  <w:t>超速识人与双赢谈判</w:t>
            </w:r>
          </w:p>
        </w:tc>
        <w:tc>
          <w:tcPr>
            <w:tcW w:w="4388" w:type="dxa"/>
            <w:vAlign w:val="center"/>
          </w:tcPr>
          <w:p>
            <w:pPr>
              <w:pStyle w:val="8"/>
              <w:spacing w:after="0" w:line="240" w:lineRule="auto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  <w:t>识人机理，识人技法，识人应用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8" w:type="dxa"/>
            <w:vAlign w:val="center"/>
          </w:tcPr>
          <w:p>
            <w:pPr>
              <w:pStyle w:val="8"/>
              <w:spacing w:after="0" w:line="240" w:lineRule="auto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  <w:t>现场识人大考验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8" w:type="dxa"/>
            <w:vAlign w:val="center"/>
          </w:tcPr>
          <w:p>
            <w:pPr>
              <w:pStyle w:val="8"/>
              <w:spacing w:after="0" w:line="240" w:lineRule="auto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  <w:t>建立在谈判中动态布局机制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8" w:type="dxa"/>
            <w:vAlign w:val="center"/>
          </w:tcPr>
          <w:p>
            <w:pPr>
              <w:pStyle w:val="8"/>
              <w:spacing w:after="0" w:line="240" w:lineRule="auto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  <w:t>引导形成可复制的谈判策略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营销铁军团队打造</w:t>
            </w:r>
          </w:p>
        </w:tc>
        <w:tc>
          <w:tcPr>
            <w:tcW w:w="4388" w:type="dxa"/>
            <w:vAlign w:val="center"/>
          </w:tcPr>
          <w:p>
            <w:pPr>
              <w:pStyle w:val="8"/>
              <w:spacing w:after="0" w:line="240" w:lineRule="auto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  <w:t>营销组织规划与激励机制体系建设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8" w:type="dxa"/>
            <w:vAlign w:val="center"/>
          </w:tcPr>
          <w:p>
            <w:pPr>
              <w:pStyle w:val="8"/>
              <w:spacing w:after="0" w:line="240" w:lineRule="auto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  <w:t>市场规划与关键客户管理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8" w:type="dxa"/>
            <w:vAlign w:val="center"/>
          </w:tcPr>
          <w:p>
            <w:pPr>
              <w:pStyle w:val="8"/>
              <w:spacing w:after="0" w:line="240" w:lineRule="auto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  <w:t>九型人格与团队人员管理</w:t>
            </w:r>
          </w:p>
        </w:tc>
      </w:tr>
      <w:tr>
        <w:trPr>
          <w:trHeight w:val="680" w:hRule="exact"/>
        </w:trPr>
        <w:tc>
          <w:tcPr>
            <w:tcW w:w="4395" w:type="dxa"/>
            <w:vMerge w:val="continue"/>
            <w:vAlign w:val="center"/>
          </w:tcPr>
          <w:p>
            <w:pPr>
              <w:pStyle w:val="8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88" w:type="dxa"/>
            <w:vAlign w:val="center"/>
          </w:tcPr>
          <w:p>
            <w:pPr>
              <w:pStyle w:val="8"/>
              <w:spacing w:after="0" w:line="240" w:lineRule="auto"/>
              <w:jc w:val="center"/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微软雅黑" w:hAnsi="微软雅黑" w:eastAsia="微软雅黑" w:cs="Times New Roman"/>
                <w:color w:val="333333"/>
                <w:sz w:val="24"/>
                <w:szCs w:val="24"/>
                <w:shd w:val="clear" w:color="auto" w:fill="FFFFFF"/>
              </w:rPr>
              <w:t>以客户为中心的狼性文化</w:t>
            </w:r>
          </w:p>
        </w:tc>
      </w:tr>
    </w:tbl>
    <w:p>
      <w:pPr>
        <w:spacing w:line="480" w:lineRule="exact"/>
        <w:rPr>
          <w:rFonts w:ascii="微软雅黑" w:hAnsi="微软雅黑" w:eastAsia="微软雅黑"/>
          <w:b/>
          <w:color w:val="333333"/>
          <w:sz w:val="21"/>
          <w:szCs w:val="21"/>
          <w:shd w:val="clear" w:color="auto" w:fill="FFFFFF"/>
        </w:rPr>
      </w:pPr>
    </w:p>
    <w:tbl>
      <w:tblPr>
        <w:tblStyle w:val="5"/>
        <w:tblW w:w="8783" w:type="dxa"/>
        <w:tblInd w:w="0" w:type="dxa"/>
        <w:tbl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single" w:color="70AD47" w:themeColor="accent6" w:sz="4" w:space="0"/>
          <w:insideV w:val="single" w:color="70AD47" w:themeColor="accent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812"/>
      </w:tblGrid>
      <w:tr>
        <w:tblPrEx>
          <w:tbl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  <w:insideH w:val="single" w:color="70AD47" w:themeColor="accent6" w:sz="4" w:space="0"/>
            <w:insideV w:val="single" w:color="70AD47" w:themeColor="accent6" w:sz="4" w:space="0"/>
          </w:tblBorders>
        </w:tblPrEx>
        <w:trPr>
          <w:trHeight w:val="661" w:hRule="atLeast"/>
        </w:trPr>
        <w:tc>
          <w:tcPr>
            <w:tcW w:w="8783" w:type="dxa"/>
            <w:gridSpan w:val="2"/>
            <w:shd w:val="clear" w:color="auto" w:fill="A8D08D" w:themeFill="accent6" w:themeFillTint="99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color w:val="333333"/>
                <w:sz w:val="21"/>
                <w:szCs w:val="21"/>
                <w:shd w:val="clear" w:color="auto" w:fill="A8D08D" w:themeFill="accent6" w:themeFillTint="99"/>
              </w:rPr>
            </w:pPr>
            <w:r>
              <w:rPr>
                <w:rFonts w:ascii="微软雅黑" w:hAnsi="微软雅黑" w:eastAsia="微软雅黑"/>
                <w:b/>
                <w:color w:val="404040" w:themeColor="text1" w:themeTint="BF"/>
                <w:sz w:val="28"/>
                <w:szCs w:val="28"/>
                <w:shd w:val="clear" w:color="auto" w:fill="A8D08D" w:themeFill="accent6" w:themeFillTint="99"/>
                <w:lang w:val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增值服务</w:t>
            </w:r>
          </w:p>
        </w:tc>
      </w:tr>
      <w:tr>
        <w:tblPrEx>
          <w:tbl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  <w:insideH w:val="single" w:color="70AD47" w:themeColor="accent6" w:sz="4" w:space="0"/>
            <w:insideV w:val="single" w:color="70AD47" w:themeColor="accent6" w:sz="4" w:space="0"/>
          </w:tblBorders>
        </w:tblPrEx>
        <w:trPr>
          <w:trHeight w:val="2640" w:hRule="atLeast"/>
        </w:trPr>
        <w:tc>
          <w:tcPr>
            <w:tcW w:w="2971" w:type="dxa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名师名家论坛</w:t>
            </w:r>
          </w:p>
        </w:tc>
        <w:tc>
          <w:tcPr>
            <w:tcW w:w="5812" w:type="dxa"/>
            <w:vAlign w:val="center"/>
          </w:tcPr>
          <w:p>
            <w:pPr>
              <w:spacing w:line="480" w:lineRule="exact"/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z w:val="24"/>
                <w:szCs w:val="24"/>
                <w:shd w:val="clear" w:color="auto" w:fill="FFFFFF"/>
              </w:rPr>
              <w:t>名师名家论坛是浙江大学品牌化、高端化的大型论坛，是继承“求是创新”精神的品牌化知识分享活动。论坛联合当今最活跃的政界、学术界、企业界与专家领袖，政、产、企融合，现已成为政府高层与企业界、学术界相互交流沟通的重要平台和渠道，每年举办一次，已成功举办24届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。</w:t>
            </w:r>
          </w:p>
        </w:tc>
      </w:tr>
      <w:tr>
        <w:tblPrEx>
          <w:tbl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  <w:insideH w:val="single" w:color="70AD47" w:themeColor="accent6" w:sz="4" w:space="0"/>
            <w:insideV w:val="single" w:color="70AD47" w:themeColor="accent6" w:sz="4" w:space="0"/>
          </w:tblBorders>
        </w:tblPrEx>
        <w:trPr>
          <w:trHeight w:val="1703" w:hRule="atLeast"/>
        </w:trPr>
        <w:tc>
          <w:tcPr>
            <w:tcW w:w="2971" w:type="dxa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紫金论坛</w:t>
            </w:r>
          </w:p>
        </w:tc>
        <w:tc>
          <w:tcPr>
            <w:tcW w:w="5812" w:type="dxa"/>
            <w:vAlign w:val="center"/>
          </w:tcPr>
          <w:p>
            <w:pPr>
              <w:spacing w:line="480" w:lineRule="exact"/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紫金论坛是为推进浙江大学教育培训品牌化建设，为浙江大学高端培训学员提供更高水平的学习平台，每年举办一次，已成功举办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期。</w:t>
            </w:r>
          </w:p>
        </w:tc>
      </w:tr>
      <w:tr>
        <w:tblPrEx>
          <w:tbl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  <w:insideH w:val="single" w:color="70AD47" w:themeColor="accent6" w:sz="4" w:space="0"/>
            <w:insideV w:val="single" w:color="70AD47" w:themeColor="accent6" w:sz="4" w:space="0"/>
          </w:tblBorders>
        </w:tblPrEx>
        <w:trPr>
          <w:trHeight w:val="2178" w:hRule="atLeast"/>
        </w:trPr>
        <w:tc>
          <w:tcPr>
            <w:tcW w:w="2971" w:type="dxa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校友返校日</w:t>
            </w:r>
          </w:p>
        </w:tc>
        <w:tc>
          <w:tcPr>
            <w:tcW w:w="5812" w:type="dxa"/>
            <w:vAlign w:val="center"/>
          </w:tcPr>
          <w:p>
            <w:pPr>
              <w:spacing w:line="480" w:lineRule="exact"/>
              <w:rPr>
                <w:rFonts w:ascii="微软雅黑" w:hAnsi="微软雅黑" w:eastAsia="微软雅黑"/>
                <w:color w:val="333333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校友返校日是为老学员和在读企业家搭建的回校学习交流平台。以名师授课和企业家分享为链接，各类班级活动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学员项目对接会、行业展会等交流合作活动为主要内容，每年举办1-2次。</w:t>
            </w:r>
          </w:p>
        </w:tc>
      </w:tr>
    </w:tbl>
    <w:p>
      <w:pPr>
        <w:spacing w:before="240" w:beforeLines="100" w:after="120" w:afterLines="50"/>
        <w:rPr>
          <w:rFonts w:ascii="黑体" w:hAnsi="黑体" w:eastAsia="黑体" w:cs="黑体"/>
          <w:color w:val="941100"/>
          <w:sz w:val="40"/>
          <w:szCs w:val="40"/>
          <w:lang w:val="zh-CN"/>
        </w:rPr>
      </w:pPr>
      <w:r>
        <w:rPr>
          <w:rFonts w:hint="eastAsia" w:ascii="黑体" w:hAnsi="黑体" w:eastAsia="黑体" w:cs="黑体"/>
          <w:color w:val="941100"/>
          <w:sz w:val="40"/>
          <w:szCs w:val="40"/>
          <w:lang w:val="zh-CN"/>
        </w:rPr>
        <w:t>拟邀师资</w:t>
      </w:r>
    </w:p>
    <w:p>
      <w:pPr>
        <w:spacing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 xml:space="preserve">王小毅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浙江大学管理学院神经管理学实验室神经营销所所长、副教授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周欣悦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浙江大学管理学院市场营销学系主任、教授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李笑月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浙江大学继续教育学院企业培训部主任</w:t>
      </w:r>
      <w:r>
        <w:rPr>
          <w:rFonts w:ascii="微软雅黑" w:hAnsi="微软雅黑" w:eastAsia="微软雅黑"/>
          <w:color w:val="333333"/>
          <w:shd w:val="clear" w:color="auto" w:fill="FFFFFF"/>
        </w:rPr>
        <w:t>、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副研究员</w:t>
      </w:r>
    </w:p>
    <w:p>
      <w:pPr>
        <w:spacing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 xml:space="preserve">楼迎军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浙江工商大学杭州商学院副院长、教授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许焕章  国际品牌策略规划与营销策划专家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路长全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切割营销理论创始人，北京赞伯营销管理咨询有限公司董事长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李力刚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顶尖战略谈判顾问、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上海来战信息董事长、美国大使馆特邀谈判专家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>潘亦藩  上海交大MBA校外导师、中国首批职业经理人（全国50名）之一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 xml:space="preserve">陈  震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影响力教育训练集团总经理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陈起辉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极客学院董事总经理 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 xml:space="preserve">于明鉴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杭州牛客电子商务有限公司总经理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于旭东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杭州道策网络科技有限公司董事长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 xml:space="preserve">极  光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实战营销专家</w:t>
      </w:r>
      <w:r>
        <w:rPr>
          <w:rFonts w:ascii="微软雅黑" w:hAnsi="微软雅黑" w:eastAsia="微软雅黑"/>
          <w:color w:val="333333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微信社区理论开创者上海交大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EMBA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总裁班特聘讲师</w:t>
      </w:r>
      <w:r>
        <w:rPr>
          <w:rFonts w:ascii="微软雅黑" w:hAnsi="微软雅黑" w:eastAsia="微软雅黑"/>
          <w:color w:val="333333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网赢研习社创始人多家上市公司微营销顾问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 xml:space="preserve">程广见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历任世界500强德国拜耳集团拜耳光翌公司销售管理总监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hint="eastAsia" w:ascii="微软雅黑" w:hAnsi="微软雅黑" w:eastAsia="微软雅黑"/>
          <w:color w:val="333333"/>
          <w:shd w:val="clear" w:color="auto" w:fill="FFFFFF"/>
        </w:rPr>
      </w:pPr>
      <w:r>
        <w:rPr>
          <w:rFonts w:ascii="微软雅黑" w:hAnsi="微软雅黑" w:eastAsia="微软雅黑"/>
          <w:color w:val="333333"/>
          <w:shd w:val="clear" w:color="auto" w:fill="FFFFFF"/>
        </w:rPr>
        <w:t>万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钧</w:t>
      </w:r>
      <w:r>
        <w:t xml:space="preserve">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中国十大策划家，国内首部“工业企业营销与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fldChar w:fldCharType="begin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instrText xml:space="preserve"> HYPERLINK "http://www.qgpx.com/neixun/pinpaiguanli/" </w:instrTex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品牌管理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对标指标体系”制订者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诸强新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原农夫山泉总裁助理兼全国营销总经理</w:t>
      </w:r>
      <w:r>
        <w:rPr>
          <w:rFonts w:ascii="微软雅黑" w:hAnsi="微软雅黑" w:eastAsia="微软雅黑"/>
          <w:color w:val="333333"/>
          <w:shd w:val="clear" w:color="auto" w:fill="FFFFFF"/>
        </w:rPr>
        <w:t>，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海尔商学院特聘教授</w:t>
      </w:r>
    </w:p>
    <w:p>
      <w:pPr>
        <w:pStyle w:val="2"/>
        <w:shd w:val="clear" w:color="auto" w:fill="FFFFFF"/>
        <w:spacing w:before="0" w:beforeAutospacing="0" w:after="0" w:afterAutospacing="0" w:line="500" w:lineRule="exact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汪</w:t>
      </w:r>
      <w:r>
        <w:rPr>
          <w:rFonts w:ascii="微软雅黑" w:hAnsi="微软雅黑" w:eastAsia="微软雅黑"/>
          <w:color w:val="333333"/>
          <w:shd w:val="clear" w:color="auto" w:fill="FFFFFF"/>
        </w:rPr>
        <w:t>玉明  博闻国际教育荣誉会长，中国智慧财富培训委员会主席</w:t>
      </w:r>
    </w:p>
    <w:p>
      <w:pPr>
        <w:spacing w:before="240" w:beforeLines="100" w:after="120" w:afterLines="50"/>
        <w:rPr>
          <w:rFonts w:ascii="黑体" w:hAnsi="黑体" w:eastAsia="黑体" w:cs="黑体"/>
          <w:color w:val="941100"/>
          <w:sz w:val="40"/>
          <w:szCs w:val="40"/>
          <w:lang w:val="zh-CN"/>
        </w:rPr>
      </w:pPr>
      <w:r>
        <w:rPr>
          <w:rFonts w:hint="eastAsia" w:ascii="黑体" w:hAnsi="黑体" w:eastAsia="黑体" w:cs="黑体"/>
          <w:color w:val="941100"/>
          <w:sz w:val="40"/>
          <w:szCs w:val="40"/>
          <w:lang w:val="zh-CN"/>
        </w:rPr>
        <w:t>报名流程</w:t>
      </w:r>
    </w:p>
    <w:p>
      <w:pPr>
        <w:pStyle w:val="10"/>
        <w:widowControl w:val="0"/>
        <w:numPr>
          <w:ilvl w:val="0"/>
          <w:numId w:val="5"/>
        </w:numPr>
        <w:spacing w:line="500" w:lineRule="exact"/>
        <w:ind w:left="482" w:hanging="482" w:firstLineChars="0"/>
        <w:contextualSpacing/>
        <w:jc w:val="both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学员向主办方提交《报名申请表》</w:t>
      </w:r>
    </w:p>
    <w:p>
      <w:pPr>
        <w:pStyle w:val="10"/>
        <w:widowControl w:val="0"/>
        <w:numPr>
          <w:ilvl w:val="0"/>
          <w:numId w:val="5"/>
        </w:numPr>
        <w:spacing w:line="500" w:lineRule="exact"/>
        <w:ind w:firstLineChars="0"/>
        <w:contextualSpacing/>
        <w:jc w:val="both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审核</w:t>
      </w:r>
      <w:r>
        <w:rPr>
          <w:rFonts w:ascii="微软雅黑" w:hAnsi="微软雅黑" w:eastAsia="微软雅黑"/>
          <w:color w:val="333333"/>
          <w:shd w:val="clear" w:color="auto" w:fill="FFFFFF"/>
          <w:lang w:eastAsia="zh-CN"/>
        </w:rPr>
        <w:t>入学资格，审核通过后，向学员发出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《</w:t>
      </w:r>
      <w:r>
        <w:rPr>
          <w:rFonts w:ascii="微软雅黑" w:hAnsi="微软雅黑" w:eastAsia="微软雅黑"/>
          <w:color w:val="333333"/>
          <w:shd w:val="clear" w:color="auto" w:fill="FFFFFF"/>
          <w:lang w:eastAsia="zh-CN"/>
        </w:rPr>
        <w:t>学习通知书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》</w:t>
      </w:r>
    </w:p>
    <w:p>
      <w:pPr>
        <w:pStyle w:val="10"/>
        <w:widowControl w:val="0"/>
        <w:numPr>
          <w:ilvl w:val="0"/>
          <w:numId w:val="5"/>
        </w:numPr>
        <w:spacing w:line="500" w:lineRule="exact"/>
        <w:ind w:firstLineChars="0"/>
        <w:contextualSpacing/>
        <w:jc w:val="both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学员收到录取通知书后，在规定的时间内办理相关入学手续</w:t>
      </w:r>
    </w:p>
    <w:p>
      <w:pPr>
        <w:pStyle w:val="10"/>
        <w:widowControl w:val="0"/>
        <w:spacing w:line="500" w:lineRule="exact"/>
        <w:ind w:left="480" w:firstLine="0" w:firstLineChars="0"/>
        <w:contextualSpacing/>
        <w:jc w:val="both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（缴纳学费，提交身份证复印件、三张免冠照片、</w:t>
      </w:r>
      <w:r>
        <w:rPr>
          <w:rFonts w:ascii="微软雅黑" w:hAnsi="微软雅黑" w:eastAsia="微软雅黑"/>
          <w:color w:val="333333"/>
          <w:shd w:val="clear" w:color="auto" w:fill="FFFFFF"/>
          <w:lang w:eastAsia="zh-CN"/>
        </w:rPr>
        <w:t>名片一张</w:t>
      </w: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）</w:t>
      </w:r>
    </w:p>
    <w:p>
      <w:pPr>
        <w:pStyle w:val="10"/>
        <w:widowControl w:val="0"/>
        <w:numPr>
          <w:ilvl w:val="0"/>
          <w:numId w:val="5"/>
        </w:numPr>
        <w:spacing w:line="500" w:lineRule="exact"/>
        <w:ind w:firstLineChars="0"/>
        <w:contextualSpacing/>
        <w:jc w:val="both"/>
        <w:rPr>
          <w:rFonts w:ascii="微软雅黑" w:hAnsi="微软雅黑" w:eastAsia="微软雅黑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eastAsia="zh-CN"/>
        </w:rPr>
        <w:t>浙江大学汇款信息:</w:t>
      </w:r>
    </w:p>
    <w:p>
      <w:pPr>
        <w:spacing w:line="500" w:lineRule="exact"/>
        <w:ind w:firstLine="480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户  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  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名：浙江大学</w:t>
      </w:r>
    </w:p>
    <w:p>
      <w:pPr>
        <w:spacing w:line="500" w:lineRule="exact"/>
        <w:ind w:firstLine="480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开 户 行：工商银行杭州浙大支行</w:t>
      </w:r>
    </w:p>
    <w:p>
      <w:pPr>
        <w:spacing w:line="500" w:lineRule="exact"/>
        <w:ind w:firstLine="480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  <w:lang w:val="en-US" w:eastAsia="zh-CN"/>
        </w:rPr>
        <w:t xml:space="preserve">账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 xml:space="preserve"> </w:t>
      </w:r>
      <w:r>
        <w:rPr>
          <w:rFonts w:ascii="微软雅黑" w:hAnsi="微软雅黑" w:eastAsia="微软雅黑"/>
          <w:color w:val="333333"/>
          <w:shd w:val="clear" w:color="auto" w:fill="FFFFFF"/>
        </w:rPr>
        <w:t xml:space="preserve"> 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 xml:space="preserve">  号：1202 0246 1991 4481 052</w:t>
      </w:r>
    </w:p>
    <w:p>
      <w:pPr>
        <w:spacing w:line="500" w:lineRule="exact"/>
        <w:ind w:firstLine="480"/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t>用　  途：“浙江大学品牌战略与营销策划</w:t>
      </w:r>
      <w:r>
        <w:rPr>
          <w:rFonts w:ascii="微软雅黑" w:hAnsi="微软雅黑" w:eastAsia="微软雅黑"/>
          <w:color w:val="333333"/>
          <w:shd w:val="clear" w:color="auto" w:fill="FFFFFF"/>
        </w:rPr>
        <w:t>专题</w:t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研修班”学费</w:t>
      </w:r>
    </w:p>
    <w:p>
      <w:pPr>
        <w:rPr>
          <w:rFonts w:ascii="微软雅黑" w:hAnsi="微软雅黑" w:eastAsia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hd w:val="clear" w:color="auto" w:fill="FFFFFF"/>
        </w:rPr>
        <w:br w:type="page"/>
      </w:r>
    </w:p>
    <w:p>
      <w:pPr>
        <w:ind w:right="-240" w:rightChars="-100"/>
        <w:jc w:val="center"/>
        <w:rPr>
          <w:rFonts w:ascii="微软雅黑" w:hAnsi="微软雅黑" w:eastAsia="微软雅黑" w:cs="微软雅黑"/>
          <w:b/>
          <w:spacing w:val="14"/>
          <w:sz w:val="36"/>
          <w:szCs w:val="28"/>
        </w:rPr>
      </w:pPr>
      <w:r>
        <w:rPr>
          <w:rFonts w:hint="eastAsia" w:ascii="微软雅黑" w:hAnsi="微软雅黑" w:eastAsia="微软雅黑" w:cs="微软雅黑"/>
          <w:b/>
          <w:spacing w:val="14"/>
          <w:sz w:val="36"/>
          <w:szCs w:val="28"/>
        </w:rPr>
        <w:t>浙江大学品牌战略与营销策划专题研修班</w:t>
      </w:r>
    </w:p>
    <w:p>
      <w:pPr>
        <w:jc w:val="center"/>
        <w:rPr>
          <w:rFonts w:ascii="微软雅黑" w:hAnsi="微软雅黑" w:eastAsia="微软雅黑" w:cs="微软雅黑"/>
          <w:bCs/>
          <w:spacing w:val="14"/>
          <w:szCs w:val="36"/>
        </w:rPr>
      </w:pPr>
      <w:r>
        <w:rPr>
          <w:rFonts w:hint="eastAsia" w:ascii="微软雅黑" w:hAnsi="微软雅黑" w:eastAsia="微软雅黑" w:cs="微软雅黑"/>
          <w:bCs/>
          <w:spacing w:val="40"/>
          <w:sz w:val="36"/>
          <w:szCs w:val="36"/>
        </w:rPr>
        <w:t>报名申请表</w:t>
      </w:r>
    </w:p>
    <w:p>
      <w:pPr>
        <w:jc w:val="center"/>
        <w:rPr>
          <w:rFonts w:ascii="微软雅黑" w:hAnsi="微软雅黑" w:eastAsia="微软雅黑" w:cs="微软雅黑"/>
          <w:bCs/>
          <w:spacing w:val="14"/>
          <w:sz w:val="21"/>
          <w:szCs w:val="21"/>
        </w:rPr>
      </w:pPr>
      <w:r>
        <w:rPr>
          <w:rFonts w:hint="eastAsia"/>
          <w:sz w:val="21"/>
          <w:szCs w:val="21"/>
        </w:rPr>
        <w:t>（请真实、完整地用正楷填写表格内容，我们将对您提供的所有信息</w:t>
      </w:r>
      <w:r>
        <w:rPr>
          <w:rFonts w:hint="eastAsia"/>
          <w:b/>
          <w:sz w:val="21"/>
          <w:szCs w:val="21"/>
        </w:rPr>
        <w:t>严格保密</w:t>
      </w:r>
      <w:r>
        <w:rPr>
          <w:rFonts w:hint="eastAsia"/>
          <w:sz w:val="21"/>
          <w:szCs w:val="21"/>
        </w:rPr>
        <w:t>）</w:t>
      </w:r>
    </w:p>
    <w:tbl>
      <w:tblPr>
        <w:tblStyle w:val="4"/>
        <w:tblpPr w:leftFromText="180" w:rightFromText="180" w:vertAnchor="text" w:horzAnchor="page" w:tblpXSpec="center" w:tblpY="327"/>
        <w:tblOverlap w:val="never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03"/>
        <w:gridCol w:w="468"/>
        <w:gridCol w:w="1365"/>
        <w:gridCol w:w="687"/>
        <w:gridCol w:w="468"/>
        <w:gridCol w:w="1365"/>
        <w:gridCol w:w="1260"/>
        <w:gridCol w:w="1149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姓    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   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最高学历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工作年限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国籍/民族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工作单位</w:t>
            </w:r>
          </w:p>
        </w:tc>
        <w:tc>
          <w:tcPr>
            <w:tcW w:w="37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职   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单位性质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所属行业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邮  编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联络方式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手  机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电  话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传  真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邮  箱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通讯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地址</w:t>
            </w:r>
          </w:p>
        </w:tc>
        <w:tc>
          <w:tcPr>
            <w:tcW w:w="511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身份证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号码</w:t>
            </w:r>
          </w:p>
        </w:tc>
        <w:tc>
          <w:tcPr>
            <w:tcW w:w="900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0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教育培训背景</w:t>
            </w:r>
          </w:p>
        </w:tc>
        <w:tc>
          <w:tcPr>
            <w:tcW w:w="9003" w:type="dxa"/>
            <w:gridSpan w:val="9"/>
            <w:vAlign w:val="center"/>
          </w:tcPr>
          <w:p>
            <w:pPr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09" w:hRule="atLeast"/>
          <w:jc w:val="center"/>
        </w:trPr>
        <w:tc>
          <w:tcPr>
            <w:tcW w:w="125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报名方法</w:t>
            </w:r>
          </w:p>
          <w:p>
            <w:pPr>
              <w:rPr>
                <w:b/>
              </w:rPr>
            </w:pPr>
          </w:p>
        </w:tc>
        <w:tc>
          <w:tcPr>
            <w:tcW w:w="9003" w:type="dxa"/>
            <w:gridSpan w:val="9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1、提交入学申请表，接受学院资格预审。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2、接到资格审核通过通知后，在约定时间内将研修班学费汇至以下账号：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名：浙江大学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开户行：工商银行杭州浙大支行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账  </w:t>
            </w:r>
            <w:r>
              <w:rPr>
                <w:rFonts w:hint="eastAsia" w:ascii="宋体" w:hAnsi="宋体" w:cs="宋体"/>
                <w:sz w:val="22"/>
                <w:szCs w:val="22"/>
              </w:rPr>
              <w:t>号：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1202  0246  1991  4481  052</w:t>
            </w:r>
          </w:p>
          <w:p>
            <w:pPr>
              <w:spacing w:beforeLines="0" w:afterLines="0"/>
              <w:ind w:right="-240" w:rightChars="-100" w:firstLine="220" w:firstLineChars="100"/>
              <w:jc w:val="both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（汇款用途务必填上：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浙江大学品牌战略与营销策划专题研修班</w:t>
            </w:r>
            <w:r>
              <w:rPr>
                <w:rFonts w:hint="eastAsia" w:ascii="宋体" w:hAnsi="宋体" w:cs="宋体"/>
                <w:sz w:val="22"/>
                <w:szCs w:val="22"/>
              </w:rPr>
              <w:t>）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3、经浙江大学继续教育学院审核后寄发《入学通知书》。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4、学员携带相关材料（身份证复印件1份，2寸证件照3张，名片若干）报到。</w:t>
            </w:r>
          </w:p>
          <w:p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5、参加开学典礼，正式入学，课程学习。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申请人</w:t>
            </w:r>
          </w:p>
          <w:p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申 明</w:t>
            </w:r>
          </w:p>
        </w:tc>
        <w:tc>
          <w:tcPr>
            <w:tcW w:w="9003" w:type="dxa"/>
            <w:gridSpan w:val="9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1、本人所填写的全部内容属实。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2、本人愿意接受浙江大学的审核。</w:t>
            </w:r>
          </w:p>
          <w:p>
            <w:pPr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3、若被录取本人将遵守浙江大学校纪与班级管理规定，坚持学习，保证顺利结业。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申请人</w:t>
            </w:r>
          </w:p>
        </w:tc>
        <w:tc>
          <w:tcPr>
            <w:tcW w:w="342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日期</w:t>
            </w:r>
          </w:p>
        </w:tc>
        <w:tc>
          <w:tcPr>
            <w:tcW w:w="374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sz w:val="21"/>
          <w:szCs w:val="21"/>
          <w:shd w:val="clear" w:color="auto" w:fill="FFFFFF"/>
        </w:rPr>
        <w:t>注：申请人保证本表所填信息真实完整，并接受统一资格审核；</w:t>
      </w:r>
    </w:p>
    <w:p>
      <w:pPr>
        <w:rPr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  <w:shd w:val="clear" w:color="auto" w:fill="FFFFFF"/>
        </w:rPr>
        <w:t>获准入学，请申请人按通知要求在规定时间内完成报名交费程序，服从教学管理，坚持学习。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iti SC Light">
    <w:altName w:val="苹方-简"/>
    <w:panose1 w:val="00000000000000000000"/>
    <w:charset w:val="88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Medium">
    <w:altName w:val="苹方-简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Helvetica Neue UltraLight">
    <w:altName w:val="苹方-简"/>
    <w:panose1 w:val="00000000000000000000"/>
    <w:charset w:val="00"/>
    <w:family w:val="auto"/>
    <w:pitch w:val="default"/>
    <w:sig w:usb0="00000000" w:usb1="00000000" w:usb2="00000002" w:usb3="00000000" w:csb0="00000001" w:csb1="00000000"/>
  </w:font>
  <w:font w:name="Helvetica Neue Light">
    <w:altName w:val="苹方-简"/>
    <w:panose1 w:val="00000000000000000000"/>
    <w:charset w:val="00"/>
    <w:family w:val="auto"/>
    <w:pitch w:val="default"/>
    <w:sig w:usb0="00000000" w:usb1="00000000" w:usb2="00000002" w:usb3="00000000" w:csb0="00000007" w:csb1="00000000"/>
  </w:font>
  <w:font w:name="Apple Color Emoji">
    <w:panose1 w:val="00000000000000000000"/>
    <w:charset w:val="88"/>
    <w:family w:val="auto"/>
    <w:pitch w:val="default"/>
    <w:sig w:usb0="00000003" w:usb1="18000000" w:usb2="14000000" w:usb3="00000000" w:csb0="0000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eibei-SC-Bold">
    <w:altName w:val="苹方-简"/>
    <w:panose1 w:val="00000000000000000000"/>
    <w:charset w:val="88"/>
    <w:family w:val="auto"/>
    <w:pitch w:val="default"/>
    <w:sig w:usb0="00000000" w:usb1="00000000" w:usb2="00080016" w:usb3="00000000" w:csb0="00160187" w:csb1="00000000"/>
  </w:font>
  <w:font w:name="HanziPen TC Bold">
    <w:altName w:val="苹方-简"/>
    <w:panose1 w:val="00000000000000000000"/>
    <w:charset w:val="88"/>
    <w:family w:val="auto"/>
    <w:pitch w:val="default"/>
    <w:sig w:usb0="00000000" w:usb1="00000000" w:usb2="00000016" w:usb3="00000000" w:csb0="00140001" w:csb1="00000000"/>
  </w:font>
  <w:font w:name="华文中宋">
    <w:altName w:val="苹方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crosoft JhengHei Light">
    <w:altName w:val="苹方-简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Corbel">
    <w:altName w:val="苹方-简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391A"/>
    <w:multiLevelType w:val="multilevel"/>
    <w:tmpl w:val="2B24391A"/>
    <w:lvl w:ilvl="0" w:tentative="0">
      <w:start w:val="1"/>
      <w:numFmt w:val="bullet"/>
      <w:lvlText w:val=""/>
      <w:lvlJc w:val="left"/>
      <w:pPr>
        <w:ind w:left="60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0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40" w:hanging="480"/>
      </w:pPr>
      <w:rPr>
        <w:rFonts w:hint="default" w:ascii="Wingdings" w:hAnsi="Wingdings"/>
      </w:rPr>
    </w:lvl>
  </w:abstractNum>
  <w:abstractNum w:abstractNumId="1">
    <w:nsid w:val="484D039C"/>
    <w:multiLevelType w:val="multilevel"/>
    <w:tmpl w:val="484D039C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2">
    <w:nsid w:val="5F7142DE"/>
    <w:multiLevelType w:val="singleLevel"/>
    <w:tmpl w:val="5F7142DE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F7145D2"/>
    <w:multiLevelType w:val="singleLevel"/>
    <w:tmpl w:val="5F7145D2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F7145F2"/>
    <w:multiLevelType w:val="singleLevel"/>
    <w:tmpl w:val="5F7145F2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EDEDF"/>
    <w:rsid w:val="7FEED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大标题 2"/>
    <w:qFormat/>
    <w:uiPriority w:val="0"/>
    <w:pPr>
      <w:keepNext/>
      <w:spacing w:line="288" w:lineRule="auto"/>
    </w:pPr>
    <w:rPr>
      <w:rFonts w:ascii="Helvetica Neue UltraLight" w:hAnsi="Helvetica Neue UltraLight" w:eastAsia="Arial Unicode MS" w:cs="Arial Unicode MS"/>
      <w:caps/>
      <w:color w:val="357CA2"/>
      <w:spacing w:val="38"/>
      <w:sz w:val="128"/>
      <w:szCs w:val="128"/>
      <w:lang w:val="zh-CN" w:eastAsia="zh-CN" w:bidi="ar-SA"/>
    </w:rPr>
  </w:style>
  <w:style w:type="paragraph" w:customStyle="1" w:styleId="7">
    <w:name w:val="正文 2"/>
    <w:qFormat/>
    <w:uiPriority w:val="0"/>
    <w:pPr>
      <w:spacing w:line="384" w:lineRule="auto"/>
    </w:pPr>
    <w:rPr>
      <w:rFonts w:hint="eastAsia" w:ascii="Arial Unicode MS" w:hAnsi="Arial Unicode MS" w:eastAsia="Heiti SC Light" w:cs="Arial Unicode MS"/>
      <w:color w:val="3C3B3C"/>
      <w:sz w:val="22"/>
      <w:szCs w:val="22"/>
      <w:lang w:val="zh-CN" w:eastAsia="zh-CN" w:bidi="ar-SA"/>
    </w:rPr>
  </w:style>
  <w:style w:type="paragraph" w:customStyle="1" w:styleId="8">
    <w:name w:val="正文1"/>
    <w:qFormat/>
    <w:uiPriority w:val="0"/>
    <w:pPr>
      <w:spacing w:after="300" w:line="360" w:lineRule="auto"/>
    </w:pPr>
    <w:rPr>
      <w:rFonts w:hint="eastAsia" w:ascii="Arial Unicode MS" w:hAnsi="Arial Unicode MS" w:eastAsia="Heiti SC Light" w:cs="Arial Unicode MS"/>
      <w:color w:val="7D7C7C"/>
      <w:sz w:val="22"/>
      <w:szCs w:val="22"/>
      <w:lang w:val="zh-CN" w:eastAsia="zh-CN" w:bidi="ar-SA"/>
    </w:rPr>
  </w:style>
  <w:style w:type="paragraph" w:customStyle="1" w:styleId="9">
    <w:name w:val="副小标题"/>
    <w:next w:val="8"/>
    <w:qFormat/>
    <w:uiPriority w:val="0"/>
    <w:pPr>
      <w:spacing w:after="200"/>
      <w:outlineLvl w:val="0"/>
    </w:pPr>
    <w:rPr>
      <w:rFonts w:hint="eastAsia" w:ascii="Arial Unicode MS" w:hAnsi="Arial Unicode MS" w:eastAsia="Heiti SC Medium" w:cs="Arial Unicode MS"/>
      <w:color w:val="85B8C9"/>
      <w:sz w:val="40"/>
      <w:szCs w:val="40"/>
      <w:lang w:val="zh-CN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Office_2.0.0.3163_F1E327BC-269C-435d-A152-05C5408002CA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2020-09-28T09:27:00Z</dcterms:created>
  <dc:creator>huzai.hfh</dc:creator>
  <cp:lastModifiedBy>huzai.hfh</cp:lastModifiedBy>
  <dcterms:modified xsi:type="dcterms:W3CDTF">2020-09-28T09:38:59Z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