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8.jpeg" ContentType="image/jpeg"/>
  <Override PartName="/word/media/image12.png" ContentType="image/png"/>
  <Override PartName="/word/media/image13.png" ContentType="image/png"/>
  <Override PartName="/word/media/image14.jpeg" ContentType="image/jpeg"/>
  <Override PartName="/word/media/image15.jpeg" ContentType="image/jpeg"/>
  <Override PartName="/word/media/image16.png" ContentType="image/png"/>
  <Override PartName="/word/media/image17.png" ContentType="image/png"/>
  <Override PartName="/word/media/image19.jpeg" ContentType="image/jpeg"/>
  <Override PartName="/word/media/image20.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napToGrid w:val="false"/>
        <w:jc w:val="center"/>
        <w:rPr>
          <w:rFonts w:ascii="微软雅黑" w:hAnsi="微软雅黑" w:eastAsia="微软雅黑"/>
          <w:b/>
          <w:b/>
          <w:color w:val="2E75B6" w:themeColor="accent5" w:themeShade="bf"/>
          <w:sz w:val="32"/>
          <w:szCs w:val="32"/>
        </w:rPr>
      </w:pPr>
      <w:r>
        <w:rPr>
          <w:rFonts w:eastAsia="微软雅黑" w:ascii="微软雅黑" w:hAnsi="微软雅黑"/>
          <w:b/>
          <w:color w:val="2E75B6" w:themeColor="accent5" w:themeShade="bf"/>
          <w:sz w:val="32"/>
          <w:szCs w:val="32"/>
        </w:rPr>
      </w:r>
    </w:p>
    <w:p>
      <w:pPr>
        <w:pStyle w:val="Normal"/>
        <w:snapToGrid w:val="false"/>
        <w:jc w:val="center"/>
        <w:rPr>
          <w:rFonts w:ascii="微软雅黑" w:hAnsi="微软雅黑" w:eastAsia="微软雅黑"/>
          <w:b/>
          <w:b/>
          <w:color w:val="2E75B6" w:themeColor="accent5" w:themeShade="bf"/>
          <w:sz w:val="32"/>
          <w:szCs w:val="32"/>
        </w:rPr>
      </w:pPr>
      <w:r>
        <w:rPr>
          <w:rFonts w:ascii="微软雅黑" w:hAnsi="微软雅黑" w:eastAsia="微软雅黑"/>
          <w:b/>
          <w:color w:val="2E75B6" w:themeColor="accent5" w:themeShade="bf"/>
          <w:sz w:val="32"/>
          <w:szCs w:val="32"/>
        </w:rPr>
        <w:t>中国人民大学商学院</w:t>
      </w:r>
    </w:p>
    <w:p>
      <w:pPr>
        <w:pStyle w:val="Normal"/>
        <w:snapToGrid w:val="false"/>
        <w:jc w:val="center"/>
        <w:rPr>
          <w:rFonts w:ascii="微软雅黑" w:hAnsi="微软雅黑" w:eastAsia="微软雅黑"/>
          <w:b/>
          <w:b/>
          <w:color w:val="2E75B6" w:themeColor="accent5" w:themeShade="bf"/>
          <w:sz w:val="32"/>
          <w:szCs w:val="32"/>
        </w:rPr>
      </w:pPr>
      <w:r>
        <w:rPr>
          <w:rFonts w:ascii="微软雅黑" w:hAnsi="微软雅黑" w:eastAsia="微软雅黑"/>
          <w:b/>
          <w:color w:val="2E75B6" w:themeColor="accent5" w:themeShade="bf"/>
          <w:sz w:val="32"/>
          <w:szCs w:val="32"/>
        </w:rPr>
        <w:t>首席人才官</w:t>
      </w:r>
      <w:r>
        <w:rPr>
          <w:rFonts w:eastAsia="微软雅黑" w:ascii="微软雅黑" w:hAnsi="微软雅黑"/>
          <w:b/>
          <w:color w:val="2E75B6" w:themeColor="accent5" w:themeShade="bf"/>
          <w:sz w:val="32"/>
          <w:szCs w:val="32"/>
        </w:rPr>
        <w:t>CHO</w:t>
      </w:r>
      <w:r>
        <w:rPr>
          <w:rFonts w:ascii="微软雅黑" w:hAnsi="微软雅黑" w:eastAsia="微软雅黑"/>
          <w:b/>
          <w:color w:val="2E75B6" w:themeColor="accent5" w:themeShade="bf"/>
          <w:sz w:val="32"/>
          <w:szCs w:val="32"/>
        </w:rPr>
        <w:t>高管项目</w:t>
      </w:r>
    </w:p>
    <w:p>
      <w:pPr>
        <w:pStyle w:val="Normal"/>
        <w:spacing w:lineRule="exact" w:line="600"/>
        <w:jc w:val="center"/>
        <w:rPr>
          <w:rFonts w:ascii="微软雅黑" w:hAnsi="微软雅黑" w:eastAsia="微软雅黑" w:cs="Times New Roman"/>
          <w:b/>
          <w:b/>
          <w:color w:val="2E75B6" w:themeColor="accent5" w:themeShade="bf"/>
          <w:sz w:val="32"/>
          <w:szCs w:val="32"/>
        </w:rPr>
      </w:pPr>
      <w:r>
        <w:rPr>
          <w:rFonts w:eastAsia="微软雅黑" w:cs="Times New Roman" w:ascii="微软雅黑" w:hAnsi="微软雅黑"/>
          <w:b/>
          <w:color w:val="2E75B6" w:themeColor="accent5" w:themeShade="bf"/>
          <w:sz w:val="32"/>
          <w:szCs w:val="32"/>
        </w:rPr>
        <w:t>2020</w:t>
      </w:r>
      <w:r>
        <w:rPr>
          <w:rFonts w:ascii="微软雅黑" w:hAnsi="微软雅黑" w:cs="Times New Roman" w:eastAsia="微软雅黑"/>
          <w:b/>
          <w:color w:val="2E75B6" w:themeColor="accent5" w:themeShade="bf"/>
          <w:sz w:val="32"/>
          <w:szCs w:val="32"/>
        </w:rPr>
        <w:t>招生简章</w:t>
      </w:r>
    </w:p>
    <w:p>
      <w:pPr>
        <w:pStyle w:val="Normal"/>
        <w:spacing w:lineRule="exact" w:line="600"/>
        <w:jc w:val="center"/>
        <w:rPr/>
      </w:pPr>
      <w:r>
        <w:rPr/>
      </w:r>
      <w:bookmarkStart w:id="0" w:name="_Hlk499820455"/>
      <w:bookmarkStart w:id="1" w:name="_Hlk499820455"/>
      <w:bookmarkEnd w:id="1"/>
    </w:p>
    <w:p>
      <w:pPr>
        <w:pStyle w:val="Normal"/>
        <w:snapToGrid w:val="false"/>
        <w:spacing w:before="0" w:after="312"/>
        <w:jc w:val="center"/>
        <w:rPr>
          <w:rFonts w:ascii="微软雅黑" w:hAnsi="微软雅黑" w:eastAsia="微软雅黑"/>
          <w:b/>
          <w:b/>
          <w:color w:val="767171" w:themeColor="background2" w:themeShade="80"/>
          <w:sz w:val="24"/>
        </w:rPr>
      </w:pPr>
      <w:r>
        <w:rPr>
          <w:rFonts w:ascii="微软雅黑" w:hAnsi="微软雅黑" w:eastAsia="微软雅黑"/>
          <w:b/>
          <w:color w:val="767171" w:themeColor="background2" w:themeShade="80"/>
          <w:sz w:val="24"/>
        </w:rPr>
        <w:t>——</w:t>
      </w:r>
      <w:r>
        <w:rPr>
          <w:rFonts w:ascii="微软雅黑" w:hAnsi="微软雅黑" w:eastAsia="微软雅黑"/>
          <w:b/>
          <w:color w:val="767171" w:themeColor="background2" w:themeShade="80"/>
          <w:sz w:val="24"/>
        </w:rPr>
        <w:t>给经营注入人才动力，助推企业人力资本价值激活与系统升级——</w:t>
      </w:r>
    </w:p>
    <w:p>
      <w:pPr>
        <w:pStyle w:val="Normal"/>
        <w:spacing w:lineRule="auto" w:line="360"/>
        <w:rPr>
          <w:rFonts w:ascii="微软雅黑" w:hAnsi="微软雅黑" w:eastAsia="微软雅黑" w:cs="Times New Roman"/>
          <w:b/>
          <w:b/>
          <w:bCs/>
          <w:color w:val="2E75B6" w:themeColor="accent5" w:themeShade="bf"/>
          <w:sz w:val="24"/>
          <w:szCs w:val="24"/>
        </w:rPr>
      </w:pPr>
      <w:r>
        <w:rPr>
          <w:rFonts w:ascii="微软雅黑" w:hAnsi="微软雅黑" w:cs="Times New Roman" w:eastAsia="微软雅黑"/>
          <w:b/>
          <w:bCs/>
          <w:color w:val="2E75B6" w:themeColor="accent5" w:themeShade="bf"/>
          <w:sz w:val="24"/>
          <w:szCs w:val="24"/>
        </w:rPr>
        <w:t>项目总览</w:t>
      </w:r>
    </w:p>
    <w:p>
      <w:pPr>
        <w:pStyle w:val="Normal"/>
        <w:snapToGrid w:val="false"/>
        <w:spacing w:lineRule="auto" w:line="360"/>
        <w:ind w:firstLine="315"/>
        <w:rPr/>
      </w:pPr>
      <w:r>
        <w:rPr/>
        <w:t>人才是企业的第一资本，创新经营管理机制，激活人力资本价值，释放人才效能红利，给经营注入人才动力，是企业未来致胜之道。</w:t>
      </w:r>
    </w:p>
    <w:p>
      <w:pPr>
        <w:pStyle w:val="Normal"/>
        <w:snapToGrid w:val="false"/>
        <w:spacing w:lineRule="auto" w:line="360"/>
        <w:ind w:firstLine="315"/>
        <w:rPr/>
      </w:pPr>
      <w:r>
        <w:rPr/>
        <w:t>中国人民大学商学院首席人才官（</w:t>
      </w:r>
      <w:r>
        <w:rPr/>
        <w:t>CHO</w:t>
      </w:r>
      <w:r>
        <w:rPr/>
        <w:t>）高管项目，自</w:t>
      </w:r>
      <w:r>
        <w:rPr/>
        <w:t>2007</w:t>
      </w:r>
      <w:r>
        <w:rPr/>
        <w:t>年推出以来，已成功举办二十二期。项目吸引近千名企业家和人力资源高管，并已经成为华为、万科、腾讯、上汽、星巴克、京东、阿里等众多知名企业高管都认可的高端学习和交流平台！</w:t>
      </w:r>
    </w:p>
    <w:p>
      <w:pPr>
        <w:pStyle w:val="Normal"/>
        <w:snapToGrid w:val="false"/>
        <w:spacing w:lineRule="auto" w:line="360"/>
        <w:rPr/>
      </w:pPr>
      <w:r>
        <w:rPr/>
        <w:t xml:space="preserve">   </w:t>
      </w:r>
      <w:r>
        <w:rPr/>
        <w:t>2019</w:t>
      </w:r>
      <w:r>
        <w:rPr/>
        <w:t>年，创新启航！我们优化和升级了整体课程体系：融合经营视角和人力资本核心能力、关注人力资本价值激活与系统升级。新体系既强调企业经营广度，又关注</w:t>
      </w:r>
      <w:r>
        <w:rPr/>
        <w:t>HR</w:t>
      </w:r>
      <w:r>
        <w:rPr/>
        <w:t>专业深度，着力培养优秀</w:t>
      </w:r>
      <w:r>
        <w:rPr/>
        <w:t>HR</w:t>
      </w:r>
      <w:r>
        <w:rPr/>
        <w:t>高管和企业家所需的整合思维能力和人才管理之道。</w:t>
      </w:r>
    </w:p>
    <w:p>
      <w:pPr>
        <w:pStyle w:val="Normal"/>
        <w:snapToGrid w:val="false"/>
        <w:spacing w:lineRule="auto" w:line="360"/>
        <w:rPr>
          <w:rFonts w:ascii="微软雅黑" w:hAnsi="微软雅黑" w:eastAsia="微软雅黑" w:cs="Times New Roman"/>
          <w:b/>
          <w:b/>
          <w:bCs/>
          <w:color w:val="2E75B6" w:themeColor="accent5" w:themeShade="bf"/>
          <w:sz w:val="24"/>
          <w:szCs w:val="24"/>
        </w:rPr>
      </w:pPr>
      <w:r>
        <w:rPr>
          <w:rFonts w:ascii="微软雅黑" w:hAnsi="微软雅黑" w:cs="Times New Roman" w:eastAsia="微软雅黑"/>
          <w:b/>
          <w:bCs/>
          <w:color w:val="2E75B6" w:themeColor="accent5" w:themeShade="bf"/>
          <w:sz w:val="24"/>
          <w:szCs w:val="24"/>
        </w:rPr>
        <w:t>课程收益</w:t>
      </w:r>
    </w:p>
    <w:p>
      <w:pPr>
        <w:pStyle w:val="ListParagraph"/>
        <w:numPr>
          <w:ilvl w:val="0"/>
          <w:numId w:val="1"/>
        </w:numPr>
        <w:snapToGrid w:val="false"/>
        <w:spacing w:lineRule="auto" w:line="360"/>
        <w:rPr/>
      </w:pPr>
      <w:r>
        <w:rPr/>
        <w:t>洞察人力资源管理未来趋势，培育新时代</w:t>
      </w:r>
      <w:r>
        <w:rPr/>
        <w:t>HR</w:t>
      </w:r>
      <w:r>
        <w:rPr/>
        <w:t>高管所需的战略视野与系统能力；</w:t>
      </w:r>
    </w:p>
    <w:p>
      <w:pPr>
        <w:pStyle w:val="ListParagraph"/>
        <w:numPr>
          <w:ilvl w:val="0"/>
          <w:numId w:val="1"/>
        </w:numPr>
        <w:snapToGrid w:val="false"/>
        <w:spacing w:lineRule="auto" w:line="360"/>
        <w:rPr/>
      </w:pPr>
      <w:r>
        <w:rPr/>
        <w:t>融合不同学科思维方式，理清底层管理逻辑，重塑认知框架、转变管理方式，更好地参与战略决策和支持业务发展；</w:t>
      </w:r>
    </w:p>
    <w:p>
      <w:pPr>
        <w:pStyle w:val="ListParagraph"/>
        <w:numPr>
          <w:ilvl w:val="0"/>
          <w:numId w:val="1"/>
        </w:numPr>
        <w:snapToGrid w:val="false"/>
        <w:spacing w:lineRule="auto" w:line="360"/>
        <w:rPr/>
      </w:pPr>
      <w:r>
        <w:rPr/>
        <w:t>激发组织活力，提升人力资本价值，推动组织变革和文化创新；</w:t>
      </w:r>
    </w:p>
    <w:p>
      <w:pPr>
        <w:pStyle w:val="ListParagraph"/>
        <w:numPr>
          <w:ilvl w:val="0"/>
          <w:numId w:val="1"/>
        </w:numPr>
        <w:snapToGrid w:val="false"/>
        <w:spacing w:lineRule="auto" w:line="360"/>
        <w:rPr/>
      </w:pPr>
      <w:r>
        <w:rPr/>
        <w:t>打破传统学习模式局限，创新学习方法，力争知行合一；</w:t>
      </w:r>
    </w:p>
    <w:p>
      <w:pPr>
        <w:pStyle w:val="ListParagraph"/>
        <w:numPr>
          <w:ilvl w:val="0"/>
          <w:numId w:val="1"/>
        </w:numPr>
        <w:snapToGrid w:val="false"/>
        <w:spacing w:lineRule="auto" w:line="360"/>
        <w:rPr/>
      </w:pPr>
      <w:r>
        <w:rPr/>
        <w:t>汇聚国内优秀的</w:t>
      </w:r>
      <w:r>
        <w:rPr/>
        <w:t>HR</w:t>
      </w:r>
      <w:r>
        <w:rPr/>
        <w:t>管理实践者和企业家，构建资源共享和终身学习平台；</w:t>
      </w:r>
    </w:p>
    <w:p>
      <w:pPr>
        <w:pStyle w:val="ListParagraph"/>
        <w:numPr>
          <w:ilvl w:val="0"/>
          <w:numId w:val="1"/>
        </w:numPr>
        <w:snapToGrid w:val="false"/>
        <w:spacing w:lineRule="auto" w:line="360"/>
        <w:rPr/>
      </w:pPr>
      <w:r>
        <w:rPr/>
        <w:t>获得人大校友资格，加入人大</w:t>
      </w:r>
      <w:r>
        <w:rPr/>
        <w:t>CHO</w:t>
      </w:r>
      <w:r>
        <w:rPr/>
        <w:t>俱乐部大家庭。</w:t>
      </w:r>
    </w:p>
    <w:p>
      <w:pPr>
        <w:pStyle w:val="Normal"/>
        <w:spacing w:lineRule="auto" w:line="360"/>
        <w:rPr>
          <w:rFonts w:ascii="微软雅黑" w:hAnsi="微软雅黑" w:eastAsia="微软雅黑" w:cs="Times New Roman"/>
          <w:b/>
          <w:b/>
          <w:bCs/>
          <w:color w:val="2E75B6" w:themeColor="accent5" w:themeShade="bf"/>
          <w:sz w:val="24"/>
          <w:szCs w:val="24"/>
        </w:rPr>
      </w:pPr>
      <w:r>
        <w:rPr>
          <w:rFonts w:ascii="微软雅黑" w:hAnsi="微软雅黑" w:cs="Times New Roman" w:eastAsia="微软雅黑"/>
          <w:b/>
          <w:bCs/>
          <w:color w:val="2E75B6" w:themeColor="accent5" w:themeShade="bf"/>
          <w:sz w:val="24"/>
          <w:szCs w:val="24"/>
        </w:rPr>
        <w:t>课程对象</w:t>
      </w:r>
    </w:p>
    <w:p>
      <w:pPr>
        <w:pStyle w:val="ListParagraph"/>
        <w:numPr>
          <w:ilvl w:val="0"/>
          <w:numId w:val="2"/>
        </w:numPr>
        <w:snapToGrid w:val="false"/>
        <w:spacing w:lineRule="auto" w:line="360"/>
        <w:rPr>
          <w:rFonts w:ascii="宋体" w:hAnsi="宋体"/>
          <w:szCs w:val="21"/>
        </w:rPr>
      </w:pPr>
      <w:r>
        <w:rPr>
          <w:rFonts w:ascii="宋体" w:hAnsi="宋体"/>
          <w:szCs w:val="21"/>
        </w:rPr>
        <w:t>企业总经理、副总经理、首席运营官等决策层高管；</w:t>
      </w:r>
    </w:p>
    <w:p>
      <w:pPr>
        <w:pStyle w:val="ListParagraph"/>
        <w:numPr>
          <w:ilvl w:val="0"/>
          <w:numId w:val="2"/>
        </w:numPr>
        <w:snapToGrid w:val="false"/>
        <w:spacing w:lineRule="auto" w:line="360"/>
        <w:rPr>
          <w:rFonts w:ascii="宋体" w:hAnsi="宋体"/>
          <w:szCs w:val="21"/>
        </w:rPr>
      </w:pPr>
      <w:r>
        <w:rPr>
          <w:rFonts w:ascii="宋体" w:hAnsi="宋体"/>
          <w:szCs w:val="21"/>
        </w:rPr>
        <w:t>分管人力资源的副总经理、首席人才官；</w:t>
      </w:r>
    </w:p>
    <w:p>
      <w:pPr>
        <w:pStyle w:val="ListParagraph"/>
        <w:numPr>
          <w:ilvl w:val="0"/>
          <w:numId w:val="2"/>
        </w:numPr>
        <w:snapToGrid w:val="false"/>
        <w:spacing w:lineRule="auto" w:line="360"/>
        <w:rPr>
          <w:rFonts w:ascii="宋体" w:hAnsi="宋体"/>
          <w:szCs w:val="21"/>
        </w:rPr>
      </w:pPr>
      <w:r>
        <w:rPr>
          <w:rFonts w:ascii="宋体" w:hAnsi="宋体"/>
          <w:szCs w:val="21"/>
        </w:rPr>
        <w:t>优秀企业人力资源总监等其他涉及人力资源管理的中高层管理者；</w:t>
      </w:r>
    </w:p>
    <w:p>
      <w:pPr>
        <w:pStyle w:val="ListParagraph"/>
        <w:numPr>
          <w:ilvl w:val="0"/>
          <w:numId w:val="2"/>
        </w:numPr>
        <w:snapToGrid w:val="false"/>
        <w:spacing w:lineRule="auto" w:line="360"/>
        <w:rPr>
          <w:rFonts w:ascii="宋体" w:hAnsi="宋体"/>
          <w:szCs w:val="21"/>
        </w:rPr>
      </w:pPr>
      <w:r>
        <w:rPr>
          <w:rFonts w:ascii="宋体" w:hAnsi="宋体"/>
          <w:szCs w:val="21"/>
        </w:rPr>
        <w:t>本人须热爱学习、喜欢分享、具有正能量。</w:t>
      </w:r>
    </w:p>
    <w:p>
      <w:pPr>
        <w:pStyle w:val="Normal"/>
        <w:spacing w:lineRule="auto" w:line="360"/>
        <w:rPr>
          <w:rFonts w:ascii="微软雅黑" w:hAnsi="微软雅黑" w:eastAsia="微软雅黑" w:cs="Times New Roman"/>
          <w:b/>
          <w:b/>
          <w:bCs/>
          <w:color w:val="2E75B6" w:themeColor="accent5" w:themeShade="bf"/>
          <w:sz w:val="24"/>
          <w:szCs w:val="24"/>
        </w:rPr>
      </w:pPr>
      <w:r>
        <w:rPr>
          <w:rFonts w:ascii="微软雅黑" w:hAnsi="微软雅黑" w:cs="Times New Roman" w:eastAsia="微软雅黑"/>
          <w:b/>
          <w:bCs/>
          <w:color w:val="2E75B6" w:themeColor="accent5" w:themeShade="bf"/>
          <w:sz w:val="24"/>
          <w:szCs w:val="24"/>
        </w:rPr>
        <w:t>项目特色</w:t>
      </w:r>
    </w:p>
    <w:p>
      <w:pPr>
        <w:pStyle w:val="Normal"/>
        <w:jc w:val="center"/>
        <w:rPr/>
      </w:pPr>
      <w:r>
        <w:rPr/>
        <w:drawing>
          <wp:inline distT="0" distB="0" distL="0" distR="0">
            <wp:extent cx="2995930" cy="2956560"/>
            <wp:effectExtent l="0" t="0" r="0" b="0"/>
            <wp:docPr id="1" name="图片 17" descr="H:\2019年\项目特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H:\2019年\项目特色.png"/>
                    <pic:cNvPicPr>
                      <a:picLocks noChangeAspect="1" noChangeArrowheads="1"/>
                    </pic:cNvPicPr>
                  </pic:nvPicPr>
                  <pic:blipFill>
                    <a:blip r:embed="rId2"/>
                    <a:stretch>
                      <a:fillRect/>
                    </a:stretch>
                  </pic:blipFill>
                  <pic:spPr bwMode="auto">
                    <a:xfrm>
                      <a:off x="0" y="0"/>
                      <a:ext cx="2995930" cy="2956560"/>
                    </a:xfrm>
                    <a:prstGeom prst="rect">
                      <a:avLst/>
                    </a:prstGeom>
                  </pic:spPr>
                </pic:pic>
              </a:graphicData>
            </a:graphic>
          </wp:inline>
        </w:drawing>
      </w:r>
    </w:p>
    <w:p>
      <w:pPr>
        <w:pStyle w:val="Normal"/>
        <w:rPr>
          <w:rFonts w:ascii="微软雅黑" w:hAnsi="微软雅黑" w:eastAsia="微软雅黑"/>
          <w:b/>
          <w:b/>
          <w:bCs/>
          <w:color w:val="365F91"/>
          <w:sz w:val="24"/>
        </w:rPr>
      </w:pPr>
      <w:r>
        <w:rPr>
          <w:rFonts w:ascii="微软雅黑" w:hAnsi="微软雅黑" w:eastAsia="微软雅黑"/>
          <w:b/>
          <w:bCs/>
          <w:color w:val="365F91"/>
          <w:sz w:val="24"/>
        </w:rPr>
        <w:t>申请信息</w:t>
      </w:r>
    </w:p>
    <w:p>
      <w:pPr>
        <w:pStyle w:val="NormalWeb"/>
        <w:snapToGrid w:val="false"/>
        <w:spacing w:lineRule="auto" w:line="360"/>
        <w:rPr>
          <w:rStyle w:val="Strong"/>
          <w:rFonts w:ascii="宋体" w:hAnsi="宋体" w:cs="宋体"/>
          <w:bCs w:val="false"/>
          <w:color w:val="000000"/>
          <w:sz w:val="21"/>
          <w:szCs w:val="21"/>
        </w:rPr>
      </w:pPr>
      <w:r>
        <w:rPr>
          <w:rStyle w:val="Strong"/>
          <w:rFonts w:ascii="宋体" w:hAnsi="宋体" w:cs="宋体"/>
          <w:bCs w:val="false"/>
          <w:color w:val="000000"/>
          <w:sz w:val="21"/>
          <w:szCs w:val="21"/>
        </w:rPr>
        <w:t>申请流程：提交报名表</w:t>
      </w:r>
      <w:r>
        <w:rPr>
          <w:rStyle w:val="Strong"/>
          <w:rFonts w:cs="宋体" w:ascii="宋体" w:hAnsi="宋体"/>
          <w:bCs w:val="false"/>
          <w:color w:val="000000"/>
          <w:sz w:val="21"/>
          <w:szCs w:val="21"/>
        </w:rPr>
        <w:t>-CHO</w:t>
      </w:r>
      <w:r>
        <w:rPr>
          <w:rStyle w:val="Strong"/>
          <w:rFonts w:ascii="宋体" w:hAnsi="宋体" w:cs="宋体"/>
          <w:bCs w:val="false"/>
          <w:color w:val="000000"/>
          <w:sz w:val="21"/>
          <w:szCs w:val="21"/>
        </w:rPr>
        <w:t>招生委员会审核与面试</w:t>
      </w:r>
      <w:r>
        <w:rPr>
          <w:rStyle w:val="Strong"/>
          <w:rFonts w:cs="宋体" w:ascii="宋体" w:hAnsi="宋体"/>
          <w:bCs w:val="false"/>
          <w:color w:val="000000"/>
          <w:sz w:val="21"/>
          <w:szCs w:val="21"/>
        </w:rPr>
        <w:t>-</w:t>
      </w:r>
      <w:r>
        <w:rPr>
          <w:rStyle w:val="Strong"/>
          <w:rFonts w:ascii="宋体" w:hAnsi="宋体" w:cs="宋体"/>
          <w:bCs w:val="false"/>
          <w:color w:val="000000"/>
          <w:sz w:val="21"/>
          <w:szCs w:val="21"/>
        </w:rPr>
        <w:t>录取</w:t>
      </w:r>
    </w:p>
    <w:p>
      <w:pPr>
        <w:pStyle w:val="NormalWeb"/>
        <w:snapToGrid w:val="false"/>
        <w:spacing w:lineRule="auto" w:line="360"/>
        <w:rPr>
          <w:rStyle w:val="Strong"/>
          <w:rFonts w:ascii="宋体" w:hAnsi="宋体" w:cs="宋体"/>
          <w:bCs w:val="false"/>
          <w:color w:val="000000"/>
          <w:sz w:val="21"/>
          <w:szCs w:val="21"/>
        </w:rPr>
      </w:pPr>
      <w:r>
        <w:rPr>
          <w:rStyle w:val="Strong"/>
          <w:rFonts w:ascii="宋体" w:hAnsi="宋体" w:cs="宋体"/>
          <w:bCs w:val="false"/>
          <w:color w:val="000000"/>
          <w:sz w:val="21"/>
          <w:szCs w:val="21"/>
        </w:rPr>
        <w:t xml:space="preserve">          </w:t>
      </w:r>
      <w:r>
        <w:rPr>
          <w:rStyle w:val="Strong"/>
          <w:rFonts w:ascii="宋体" w:hAnsi="宋体" w:cs="宋体"/>
          <w:bCs w:val="false"/>
          <w:color w:val="000000"/>
          <w:sz w:val="21"/>
          <w:szCs w:val="21"/>
        </w:rPr>
        <w:t>每期招收</w:t>
      </w:r>
      <w:r>
        <w:rPr>
          <w:rStyle w:val="Strong"/>
          <w:rFonts w:cs="宋体" w:ascii="宋体" w:hAnsi="宋体"/>
          <w:bCs w:val="false"/>
          <w:color w:val="000000"/>
          <w:sz w:val="21"/>
          <w:szCs w:val="21"/>
        </w:rPr>
        <w:t>5</w:t>
      </w:r>
      <w:r>
        <w:rPr>
          <w:rStyle w:val="Strong"/>
          <w:rFonts w:ascii="宋体" w:hAnsi="宋体" w:cs="宋体"/>
          <w:bCs w:val="false"/>
          <w:color w:val="000000"/>
          <w:sz w:val="21"/>
          <w:szCs w:val="21"/>
        </w:rPr>
        <w:t>组，每组</w:t>
      </w:r>
      <w:r>
        <w:rPr>
          <w:rStyle w:val="Strong"/>
          <w:rFonts w:cs="宋体" w:ascii="宋体" w:hAnsi="宋体"/>
          <w:bCs w:val="false"/>
          <w:color w:val="000000"/>
          <w:sz w:val="21"/>
          <w:szCs w:val="21"/>
        </w:rPr>
        <w:t>8-10</w:t>
      </w:r>
      <w:r>
        <w:rPr>
          <w:rStyle w:val="Strong"/>
          <w:rFonts w:ascii="宋体" w:hAnsi="宋体" w:cs="宋体"/>
          <w:bCs w:val="false"/>
          <w:color w:val="000000"/>
          <w:sz w:val="21"/>
          <w:szCs w:val="21"/>
        </w:rPr>
        <w:t>人（便于安排行动学习），额满为止</w:t>
      </w:r>
    </w:p>
    <w:p>
      <w:pPr>
        <w:pStyle w:val="NormalWeb"/>
        <w:snapToGrid w:val="false"/>
        <w:spacing w:lineRule="auto" w:line="360"/>
        <w:rPr>
          <w:rFonts w:ascii="宋体" w:hAnsi="宋体"/>
          <w:b/>
          <w:b/>
          <w:bCs/>
        </w:rPr>
      </w:pPr>
      <w:r>
        <w:rPr>
          <w:rStyle w:val="Strong"/>
          <w:rFonts w:ascii="宋体" w:hAnsi="宋体" w:cs="宋体"/>
          <w:bCs w:val="false"/>
          <w:color w:val="000000"/>
          <w:sz w:val="21"/>
          <w:szCs w:val="21"/>
        </w:rPr>
        <w:t>证书授予</w:t>
      </w:r>
      <w:r>
        <w:rPr>
          <w:rFonts w:ascii="宋体" w:hAnsi="宋体"/>
          <w:b/>
          <w:bCs/>
        </w:rPr>
        <w:t>：</w:t>
      </w:r>
      <w:r>
        <w:rPr>
          <w:rFonts w:ascii="宋体" w:hAnsi="宋体"/>
          <w:color w:val="000000"/>
          <w:sz w:val="21"/>
          <w:szCs w:val="21"/>
        </w:rPr>
        <w:t>完成规定课程和活动，经考核合格者，由中国人民大学颁发首席人才官</w:t>
      </w:r>
      <w:r>
        <w:rPr>
          <w:rFonts w:ascii="宋体" w:hAnsi="宋体"/>
          <w:color w:val="000000"/>
          <w:sz w:val="21"/>
          <w:szCs w:val="21"/>
        </w:rPr>
        <w:t>CHO</w:t>
      </w:r>
      <w:r>
        <w:rPr>
          <w:rFonts w:ascii="宋体" w:hAnsi="宋体"/>
          <w:color w:val="000000"/>
          <w:sz w:val="21"/>
          <w:szCs w:val="21"/>
        </w:rPr>
        <w:t>高管项目结业证书。</w:t>
      </w:r>
    </w:p>
    <w:p>
      <w:pPr>
        <w:pStyle w:val="NormalWeb"/>
        <w:snapToGrid w:val="false"/>
        <w:spacing w:lineRule="auto" w:line="360"/>
        <w:ind w:left="1265" w:hanging="1265"/>
        <w:rPr>
          <w:rFonts w:ascii="宋体" w:hAnsi="宋体"/>
          <w:sz w:val="21"/>
          <w:szCs w:val="21"/>
        </w:rPr>
      </w:pPr>
      <w:r>
        <w:rPr>
          <w:rStyle w:val="Strong"/>
          <w:rFonts w:ascii="宋体" w:hAnsi="宋体" w:cs="宋体"/>
          <w:bCs w:val="false"/>
          <w:color w:val="000000"/>
          <w:sz w:val="21"/>
          <w:szCs w:val="21"/>
        </w:rPr>
        <w:t>授课时间</w:t>
      </w:r>
      <w:r>
        <w:rPr>
          <w:rFonts w:ascii="宋体" w:hAnsi="宋体"/>
          <w:color w:val="000000"/>
          <w:sz w:val="21"/>
        </w:rPr>
        <w:t> ：学制</w:t>
      </w:r>
      <w:r>
        <w:rPr>
          <w:rFonts w:ascii="宋体" w:hAnsi="宋体"/>
          <w:color w:val="000000"/>
          <w:sz w:val="21"/>
        </w:rPr>
        <w:t>1</w:t>
      </w:r>
      <w:r>
        <w:rPr>
          <w:rFonts w:ascii="宋体" w:hAnsi="宋体"/>
          <w:color w:val="000000"/>
          <w:sz w:val="21"/>
        </w:rPr>
        <w:t>年，共</w:t>
      </w:r>
      <w:r>
        <w:rPr>
          <w:rFonts w:ascii="宋体" w:hAnsi="宋体"/>
          <w:color w:val="000000"/>
          <w:sz w:val="21"/>
        </w:rPr>
        <w:t>26</w:t>
      </w:r>
      <w:r>
        <w:rPr>
          <w:rFonts w:ascii="宋体" w:hAnsi="宋体"/>
          <w:color w:val="000000"/>
          <w:sz w:val="21"/>
        </w:rPr>
        <w:t>天，必修</w:t>
      </w:r>
      <w:r>
        <w:rPr>
          <w:rFonts w:ascii="宋体" w:hAnsi="宋体"/>
          <w:color w:val="000000"/>
          <w:sz w:val="21"/>
        </w:rPr>
        <w:t>21</w:t>
      </w:r>
      <w:r>
        <w:rPr>
          <w:rFonts w:ascii="宋体" w:hAnsi="宋体"/>
          <w:color w:val="000000"/>
          <w:sz w:val="21"/>
        </w:rPr>
        <w:t>天，选修</w:t>
      </w:r>
      <w:r>
        <w:rPr>
          <w:rFonts w:ascii="宋体" w:hAnsi="宋体"/>
          <w:color w:val="000000"/>
          <w:sz w:val="21"/>
        </w:rPr>
        <w:t>5</w:t>
      </w:r>
      <w:r>
        <w:rPr>
          <w:rFonts w:ascii="宋体" w:hAnsi="宋体"/>
          <w:color w:val="000000"/>
          <w:sz w:val="21"/>
        </w:rPr>
        <w:t>天，</w:t>
      </w:r>
      <w:r>
        <w:rPr>
          <w:rFonts w:ascii="宋体" w:hAnsi="宋体"/>
          <w:sz w:val="21"/>
          <w:szCs w:val="21"/>
        </w:rPr>
        <w:t>每</w:t>
      </w:r>
      <w:r>
        <w:rPr>
          <w:rFonts w:ascii="宋体" w:hAnsi="宋体"/>
          <w:sz w:val="21"/>
          <w:szCs w:val="21"/>
        </w:rPr>
        <w:t>2</w:t>
      </w:r>
      <w:r>
        <w:rPr>
          <w:rFonts w:ascii="宋体" w:hAnsi="宋体"/>
          <w:sz w:val="21"/>
          <w:szCs w:val="21"/>
        </w:rPr>
        <w:t>个月集中上课一次，每次</w:t>
      </w:r>
      <w:r>
        <w:rPr>
          <w:rFonts w:ascii="宋体" w:hAnsi="宋体"/>
          <w:sz w:val="21"/>
          <w:szCs w:val="21"/>
        </w:rPr>
        <w:t>3</w:t>
      </w:r>
      <w:r>
        <w:rPr>
          <w:rFonts w:ascii="宋体" w:hAnsi="宋体"/>
          <w:sz w:val="21"/>
          <w:szCs w:val="21"/>
        </w:rPr>
        <w:t>天（周五到周日）。</w:t>
      </w:r>
    </w:p>
    <w:p>
      <w:pPr>
        <w:pStyle w:val="NormalWeb"/>
        <w:snapToGrid w:val="false"/>
        <w:spacing w:lineRule="auto" w:line="360"/>
        <w:ind w:left="210" w:hanging="0"/>
        <w:rPr>
          <w:rFonts w:ascii="宋体" w:hAnsi="宋体"/>
          <w:color w:val="000000"/>
          <w:sz w:val="21"/>
        </w:rPr>
      </w:pPr>
      <w:r>
        <w:rPr>
          <w:rFonts w:ascii="宋体" w:hAnsi="宋体"/>
          <w:sz w:val="21"/>
          <w:szCs w:val="21"/>
        </w:rPr>
        <w:t xml:space="preserve">          </w:t>
      </w:r>
      <w:r>
        <w:rPr>
          <w:rFonts w:ascii="宋体" w:hAnsi="宋体"/>
          <w:sz w:val="21"/>
          <w:szCs w:val="21"/>
        </w:rPr>
        <w:t>北京春季班（第二十四期）：</w:t>
      </w:r>
      <w:r>
        <w:rPr>
          <w:rFonts w:ascii="宋体" w:hAnsi="宋体"/>
          <w:color w:val="000000"/>
          <w:sz w:val="21"/>
        </w:rPr>
        <w:t>2020</w:t>
      </w:r>
      <w:r>
        <w:rPr>
          <w:rFonts w:ascii="宋体" w:hAnsi="宋体"/>
          <w:color w:val="000000"/>
          <w:sz w:val="21"/>
        </w:rPr>
        <w:t>年</w:t>
      </w:r>
      <w:r>
        <w:rPr>
          <w:rFonts w:ascii="宋体" w:hAnsi="宋体"/>
          <w:color w:val="000000"/>
          <w:sz w:val="21"/>
        </w:rPr>
        <w:t>5</w:t>
      </w:r>
      <w:r>
        <w:rPr>
          <w:rFonts w:ascii="宋体" w:hAnsi="宋体"/>
          <w:color w:val="000000"/>
          <w:sz w:val="21"/>
        </w:rPr>
        <w:t>月</w:t>
      </w:r>
    </w:p>
    <w:p>
      <w:pPr>
        <w:pStyle w:val="NormalWeb"/>
        <w:snapToGrid w:val="false"/>
        <w:spacing w:lineRule="auto" w:line="360"/>
        <w:ind w:left="210" w:hanging="0"/>
        <w:rPr>
          <w:rFonts w:ascii="宋体" w:hAnsi="宋体"/>
          <w:color w:val="000000"/>
          <w:sz w:val="21"/>
        </w:rPr>
      </w:pPr>
      <w:r>
        <w:rPr>
          <w:rFonts w:ascii="宋体" w:hAnsi="宋体"/>
          <w:color w:val="000000"/>
          <w:sz w:val="21"/>
        </w:rPr>
        <w:t xml:space="preserve">          </w:t>
      </w:r>
      <w:r>
        <w:rPr>
          <w:rFonts w:ascii="宋体" w:hAnsi="宋体"/>
          <w:color w:val="000000"/>
          <w:sz w:val="21"/>
        </w:rPr>
        <w:t>深圳夏季班（第二十五期）：</w:t>
      </w:r>
      <w:r>
        <w:rPr>
          <w:rFonts w:ascii="宋体" w:hAnsi="宋体"/>
          <w:color w:val="000000"/>
          <w:sz w:val="21"/>
        </w:rPr>
        <w:t>2020</w:t>
      </w:r>
      <w:r>
        <w:rPr>
          <w:rFonts w:ascii="宋体" w:hAnsi="宋体"/>
          <w:color w:val="000000"/>
          <w:sz w:val="21"/>
        </w:rPr>
        <w:t>年</w:t>
      </w:r>
      <w:r>
        <w:rPr>
          <w:rFonts w:ascii="宋体" w:hAnsi="宋体"/>
          <w:color w:val="000000"/>
          <w:sz w:val="21"/>
        </w:rPr>
        <w:t>7</w:t>
      </w:r>
      <w:r>
        <w:rPr>
          <w:rFonts w:ascii="宋体" w:hAnsi="宋体"/>
          <w:color w:val="000000"/>
          <w:sz w:val="21"/>
        </w:rPr>
        <w:t>月</w:t>
      </w:r>
    </w:p>
    <w:p>
      <w:pPr>
        <w:pStyle w:val="NormalWeb"/>
        <w:snapToGrid w:val="false"/>
        <w:spacing w:lineRule="auto" w:line="360"/>
        <w:ind w:left="210" w:hanging="0"/>
        <w:rPr>
          <w:rFonts w:ascii="宋体" w:hAnsi="宋体"/>
          <w:color w:val="000000"/>
          <w:sz w:val="21"/>
        </w:rPr>
      </w:pPr>
      <w:r>
        <w:rPr>
          <w:rFonts w:ascii="宋体" w:hAnsi="宋体"/>
          <w:color w:val="000000"/>
          <w:sz w:val="21"/>
        </w:rPr>
        <w:t xml:space="preserve">          </w:t>
      </w:r>
      <w:r>
        <w:rPr>
          <w:rFonts w:ascii="宋体" w:hAnsi="宋体"/>
          <w:color w:val="000000"/>
          <w:sz w:val="21"/>
        </w:rPr>
        <w:t>北京秋季班（第二十六期）：</w:t>
      </w:r>
      <w:r>
        <w:rPr>
          <w:rFonts w:ascii="宋体" w:hAnsi="宋体"/>
          <w:color w:val="000000"/>
          <w:sz w:val="21"/>
        </w:rPr>
        <w:t>2020</w:t>
      </w:r>
      <w:r>
        <w:rPr>
          <w:rFonts w:ascii="宋体" w:hAnsi="宋体"/>
          <w:color w:val="000000"/>
          <w:sz w:val="21"/>
        </w:rPr>
        <w:t>年</w:t>
      </w:r>
      <w:r>
        <w:rPr>
          <w:rFonts w:ascii="宋体" w:hAnsi="宋体"/>
          <w:color w:val="000000"/>
          <w:sz w:val="21"/>
        </w:rPr>
        <w:t>10</w:t>
      </w:r>
      <w:r>
        <w:rPr>
          <w:rFonts w:ascii="宋体" w:hAnsi="宋体"/>
          <w:color w:val="000000"/>
          <w:sz w:val="21"/>
        </w:rPr>
        <w:t>月</w:t>
      </w:r>
    </w:p>
    <w:p>
      <w:pPr>
        <w:pStyle w:val="NormalWeb"/>
        <w:rPr>
          <w:rFonts w:ascii="宋体" w:hAnsi="宋体"/>
          <w:sz w:val="21"/>
          <w:szCs w:val="21"/>
        </w:rPr>
      </w:pPr>
      <w:r>
        <w:rPr>
          <w:rStyle w:val="Strong"/>
          <w:rFonts w:ascii="宋体" w:hAnsi="宋体" w:cs="宋体"/>
          <w:bCs w:val="false"/>
          <w:color w:val="000000"/>
          <w:sz w:val="21"/>
          <w:szCs w:val="21"/>
        </w:rPr>
        <w:t>课程费用</w:t>
      </w:r>
      <w:r>
        <w:rPr>
          <w:rFonts w:ascii="宋体" w:hAnsi="宋体"/>
          <w:color w:val="000000"/>
          <w:sz w:val="21"/>
        </w:rPr>
        <w:t> ：</w:t>
      </w:r>
      <w:r>
        <w:rPr>
          <w:rFonts w:ascii="宋体" w:hAnsi="宋体"/>
          <w:sz w:val="21"/>
          <w:szCs w:val="21"/>
        </w:rPr>
        <w:t>人民币</w:t>
      </w:r>
      <w:r>
        <w:rPr>
          <w:rFonts w:ascii="宋体" w:hAnsi="宋体"/>
          <w:sz w:val="21"/>
          <w:szCs w:val="21"/>
        </w:rPr>
        <w:t>73000</w:t>
      </w:r>
      <w:r>
        <w:rPr>
          <w:rFonts w:ascii="宋体" w:hAnsi="宋体"/>
          <w:sz w:val="21"/>
          <w:szCs w:val="21"/>
        </w:rPr>
        <w:t>元</w:t>
      </w:r>
      <w:r>
        <w:rPr>
          <w:rFonts w:ascii="宋体" w:hAnsi="宋体"/>
          <w:sz w:val="21"/>
          <w:szCs w:val="21"/>
        </w:rPr>
        <w:t>/</w:t>
      </w:r>
      <w:r>
        <w:rPr>
          <w:rFonts w:ascii="宋体" w:hAnsi="宋体"/>
          <w:sz w:val="21"/>
          <w:szCs w:val="21"/>
        </w:rPr>
        <w:t>人。（含培训、学习用品、课程资料等费用）</w:t>
      </w:r>
    </w:p>
    <w:p>
      <w:pPr>
        <w:pStyle w:val="NormalWeb"/>
        <w:ind w:firstLine="1260"/>
        <w:rPr>
          <w:rFonts w:ascii="宋体" w:hAnsi="宋体"/>
          <w:sz w:val="21"/>
          <w:szCs w:val="21"/>
        </w:rPr>
      </w:pPr>
      <w:r>
        <w:rPr>
          <w:rFonts w:ascii="宋体" w:hAnsi="宋体"/>
          <w:sz w:val="21"/>
          <w:szCs w:val="21"/>
        </w:rPr>
        <w:t>2020</w:t>
      </w:r>
      <w:r>
        <w:rPr>
          <w:rFonts w:ascii="宋体" w:hAnsi="宋体"/>
          <w:sz w:val="21"/>
          <w:szCs w:val="21"/>
        </w:rPr>
        <w:t>年</w:t>
      </w:r>
      <w:r>
        <w:rPr>
          <w:rFonts w:ascii="宋体" w:hAnsi="宋体"/>
          <w:sz w:val="21"/>
          <w:szCs w:val="21"/>
        </w:rPr>
        <w:t>1</w:t>
      </w:r>
      <w:r>
        <w:rPr>
          <w:rFonts w:ascii="宋体" w:hAnsi="宋体"/>
          <w:sz w:val="21"/>
          <w:szCs w:val="21"/>
        </w:rPr>
        <w:t>月</w:t>
      </w:r>
      <w:r>
        <w:rPr>
          <w:rFonts w:ascii="宋体" w:hAnsi="宋体"/>
          <w:sz w:val="21"/>
          <w:szCs w:val="21"/>
        </w:rPr>
        <w:t>31</w:t>
      </w:r>
      <w:r>
        <w:rPr>
          <w:rFonts w:ascii="宋体" w:hAnsi="宋体"/>
          <w:sz w:val="21"/>
          <w:szCs w:val="21"/>
        </w:rPr>
        <w:t>日前报名缴费可享受</w:t>
      </w:r>
      <w:r>
        <w:rPr>
          <w:rFonts w:ascii="宋体" w:hAnsi="宋体"/>
          <w:sz w:val="21"/>
          <w:szCs w:val="21"/>
        </w:rPr>
        <w:t>2019</w:t>
      </w:r>
      <w:r>
        <w:rPr>
          <w:rFonts w:ascii="宋体" w:hAnsi="宋体"/>
          <w:sz w:val="21"/>
          <w:szCs w:val="21"/>
        </w:rPr>
        <w:t>年学费价格（</w:t>
      </w:r>
      <w:r>
        <w:rPr>
          <w:rFonts w:ascii="宋体" w:hAnsi="宋体"/>
          <w:sz w:val="21"/>
          <w:szCs w:val="21"/>
        </w:rPr>
        <w:t>68000</w:t>
      </w:r>
      <w:r>
        <w:rPr>
          <w:rFonts w:ascii="宋体" w:hAnsi="宋体"/>
          <w:sz w:val="21"/>
          <w:szCs w:val="21"/>
        </w:rPr>
        <w:t>元</w:t>
      </w:r>
      <w:r>
        <w:rPr>
          <w:rFonts w:ascii="宋体" w:hAnsi="宋体"/>
          <w:sz w:val="21"/>
          <w:szCs w:val="21"/>
        </w:rPr>
        <w:t>/</w:t>
      </w:r>
      <w:r>
        <w:rPr>
          <w:rFonts w:ascii="宋体" w:hAnsi="宋体"/>
          <w:sz w:val="21"/>
          <w:szCs w:val="21"/>
        </w:rPr>
        <w:t>人）。</w:t>
      </w:r>
    </w:p>
    <w:p>
      <w:pPr>
        <w:pStyle w:val="NormalWeb"/>
        <w:snapToGrid w:val="false"/>
        <w:spacing w:lineRule="auto" w:line="360"/>
        <w:rPr>
          <w:rFonts w:ascii="宋体" w:hAnsi="宋体"/>
          <w:sz w:val="21"/>
          <w:szCs w:val="21"/>
        </w:rPr>
      </w:pPr>
      <w:r>
        <w:rPr>
          <w:rFonts w:ascii="宋体" w:hAnsi="宋体"/>
          <w:sz w:val="21"/>
          <w:szCs w:val="21"/>
        </w:rPr>
        <mc:AlternateContent>
          <mc:Choice Requires="wps">
            <w:drawing>
              <wp:anchor behindDoc="0" distT="0" distB="0" distL="114300" distR="114300" simplePos="0" locked="0" layoutInCell="1" allowOverlap="1" relativeHeight="2">
                <wp:simplePos x="0" y="0"/>
                <wp:positionH relativeFrom="column">
                  <wp:posOffset>337185</wp:posOffset>
                </wp:positionH>
                <wp:positionV relativeFrom="paragraph">
                  <wp:posOffset>29845</wp:posOffset>
                </wp:positionV>
                <wp:extent cx="4953000" cy="1861820"/>
                <wp:effectExtent l="19050" t="19050" r="19685" b="24765"/>
                <wp:wrapNone/>
                <wp:docPr id="2" name="矩形: 圆角 1"/>
                <a:graphic xmlns:a="http://schemas.openxmlformats.org/drawingml/2006/main">
                  <a:graphicData uri="http://schemas.microsoft.com/office/word/2010/wordprocessingShape">
                    <wps:wsp>
                      <wps:cNvSpPr/>
                      <wps:spPr>
                        <a:xfrm>
                          <a:off x="0" y="0"/>
                          <a:ext cx="4952520" cy="1861200"/>
                        </a:xfrm>
                        <a:prstGeom prst="roundRect">
                          <a:avLst>
                            <a:gd name="adj" fmla="val 16667"/>
                          </a:avLst>
                        </a:prstGeom>
                        <a:noFill/>
                        <a:ln cap="rnd" w="31680">
                          <a:solidFill>
                            <a:srgbClr val="c0504d"/>
                          </a:solidFill>
                          <a:custDash>
                            <a:ds d="100000" sp="100000"/>
                          </a:custDash>
                          <a:round/>
                        </a:ln>
                      </wps:spPr>
                      <wps:style>
                        <a:lnRef idx="0"/>
                        <a:fillRef idx="0"/>
                        <a:effectRef idx="0"/>
                        <a:fontRef idx="minor"/>
                      </wps:style>
                      <wps:txbx>
                        <w:txbxContent>
                          <w:p>
                            <w:pPr>
                              <w:pStyle w:val="Style23"/>
                              <w:snapToGrid w:val="false"/>
                              <w:spacing w:lineRule="auto" w:line="360"/>
                              <w:rPr>
                                <w:rFonts w:ascii="宋体" w:hAnsi="宋体" w:eastAsia="宋体" w:cs="Times New Roman"/>
                                <w:b/>
                                <w:b/>
                                <w:szCs w:val="21"/>
                              </w:rPr>
                            </w:pPr>
                            <w:r>
                              <w:rPr>
                                <w:rFonts w:ascii="宋体" w:hAnsi="宋体" w:cs="Times New Roman" w:eastAsia="宋体"/>
                                <w:b/>
                                <w:color w:val="auto"/>
                                <w:szCs w:val="21"/>
                              </w:rPr>
                              <w:t>交费须知：</w:t>
                            </w:r>
                          </w:p>
                          <w:p>
                            <w:pPr>
                              <w:pStyle w:val="Style23"/>
                              <w:snapToGrid w:val="false"/>
                              <w:spacing w:lineRule="auto" w:line="360"/>
                              <w:rPr>
                                <w:rFonts w:ascii="宋体" w:hAnsi="宋体" w:eastAsia="宋体" w:cs="Times New Roman"/>
                                <w:szCs w:val="21"/>
                              </w:rPr>
                            </w:pPr>
                            <w:r>
                              <w:rPr>
                                <w:rFonts w:ascii="宋体" w:hAnsi="宋体" w:cs="Times New Roman" w:eastAsia="宋体"/>
                                <w:color w:val="auto"/>
                                <w:szCs w:val="21"/>
                              </w:rPr>
                              <w:t>开 户 行：中国工商银行股份有限公司北京紫竹院支行 </w:t>
                            </w:r>
                          </w:p>
                          <w:p>
                            <w:pPr>
                              <w:pStyle w:val="Style23"/>
                              <w:snapToGrid w:val="false"/>
                              <w:spacing w:lineRule="auto" w:line="360"/>
                              <w:rPr>
                                <w:rFonts w:ascii="宋体" w:hAnsi="宋体" w:eastAsia="宋体" w:cs="Times New Roman"/>
                                <w:szCs w:val="21"/>
                              </w:rPr>
                            </w:pPr>
                            <w:r>
                              <w:rPr>
                                <w:rFonts w:ascii="宋体" w:hAnsi="宋体" w:cs="Times New Roman" w:eastAsia="宋体"/>
                                <w:color w:val="auto"/>
                                <w:szCs w:val="21"/>
                              </w:rPr>
                              <w:t>帐　　号：</w:t>
                            </w:r>
                            <w:r>
                              <w:rPr>
                                <w:rFonts w:eastAsia="宋体" w:cs="Times New Roman" w:ascii="宋体" w:hAnsi="宋体"/>
                                <w:color w:val="auto"/>
                                <w:szCs w:val="21"/>
                              </w:rPr>
                              <w:t>0200 0076 0902 6400 244  </w:t>
                            </w:r>
                          </w:p>
                          <w:p>
                            <w:pPr>
                              <w:pStyle w:val="Style23"/>
                              <w:snapToGrid w:val="false"/>
                              <w:spacing w:lineRule="auto" w:line="360"/>
                              <w:rPr>
                                <w:color w:val="auto"/>
                              </w:rPr>
                            </w:pPr>
                            <w:r>
                              <w:rPr>
                                <w:rFonts w:ascii="宋体" w:hAnsi="宋体" w:cs="Times New Roman" w:eastAsia="宋体"/>
                                <w:color w:val="auto"/>
                                <w:szCs w:val="21"/>
                              </w:rPr>
                              <w:t>收款单位：中国人民大学  特别说明：电汇单上“（收款）单位”一栏均只填“中国人民大学”六字，在“用途”栏里填上“人大</w:t>
                            </w:r>
                            <w:r>
                              <w:rPr>
                                <w:rFonts w:eastAsia="宋体" w:cs="Times New Roman" w:ascii="宋体" w:hAnsi="宋体"/>
                                <w:color w:val="auto"/>
                                <w:szCs w:val="21"/>
                              </w:rPr>
                              <w:t>CHO</w:t>
                            </w:r>
                            <w:r>
                              <w:rPr>
                                <w:rFonts w:ascii="宋体" w:hAnsi="宋体" w:cs="Times New Roman" w:eastAsia="宋体"/>
                                <w:color w:val="auto"/>
                                <w:szCs w:val="21"/>
                              </w:rPr>
                              <w:t>班</w:t>
                            </w:r>
                            <w:r>
                              <w:rPr>
                                <w:rFonts w:eastAsia="宋体" w:cs="Times New Roman" w:ascii="宋体" w:hAnsi="宋体"/>
                                <w:color w:val="auto"/>
                                <w:szCs w:val="21"/>
                              </w:rPr>
                              <w:t>XXX(</w:t>
                            </w:r>
                            <w:r>
                              <w:rPr>
                                <w:rFonts w:ascii="宋体" w:hAnsi="宋体" w:cs="Times New Roman" w:eastAsia="宋体"/>
                                <w:color w:val="auto"/>
                                <w:szCs w:val="21"/>
                              </w:rPr>
                              <w:t>学员姓名</w:t>
                            </w:r>
                            <w:r>
                              <w:rPr>
                                <w:rFonts w:eastAsia="宋体" w:cs="Times New Roman" w:ascii="宋体" w:hAnsi="宋体"/>
                                <w:color w:val="auto"/>
                                <w:szCs w:val="21"/>
                              </w:rPr>
                              <w:t>)</w:t>
                            </w:r>
                            <w:r>
                              <w:rPr>
                                <w:rFonts w:ascii="宋体" w:hAnsi="宋体" w:cs="Times New Roman" w:eastAsia="宋体"/>
                                <w:color w:val="auto"/>
                                <w:szCs w:val="21"/>
                              </w:rPr>
                              <w:t>培训费”。汇款后请将银行汇款凭单回复至招生老师邮箱。</w:t>
                            </w:r>
                          </w:p>
                        </w:txbxContent>
                      </wps:txbx>
                      <wps:bodyPr>
                        <a:noAutofit/>
                      </wps:bodyPr>
                    </wps:wsp>
                  </a:graphicData>
                </a:graphic>
              </wp:anchor>
            </w:drawing>
          </mc:Choice>
          <mc:Fallback>
            <w:pict/>
          </mc:Fallback>
        </mc:AlternateContent>
      </w:r>
    </w:p>
    <w:p>
      <w:pPr>
        <w:pStyle w:val="NormalWeb"/>
        <w:snapToGrid w:val="false"/>
        <w:rPr>
          <w:rFonts w:ascii="宋体" w:hAnsi="宋体"/>
          <w:sz w:val="21"/>
          <w:szCs w:val="21"/>
        </w:rPr>
      </w:pPr>
      <w:r>
        <w:rPr>
          <w:rFonts w:ascii="宋体" w:hAnsi="宋体"/>
          <w:sz w:val="21"/>
          <w:szCs w:val="21"/>
        </w:rPr>
      </w:r>
    </w:p>
    <w:p>
      <w:pPr>
        <w:pStyle w:val="NormalWeb"/>
        <w:snapToGrid w:val="false"/>
        <w:rPr>
          <w:rFonts w:ascii="宋体" w:hAnsi="宋体"/>
          <w:sz w:val="21"/>
          <w:szCs w:val="21"/>
        </w:rPr>
      </w:pPr>
      <w:r>
        <w:rPr>
          <w:rFonts w:ascii="宋体" w:hAnsi="宋体"/>
          <w:sz w:val="21"/>
          <w:szCs w:val="21"/>
        </w:rPr>
      </w:r>
    </w:p>
    <w:p>
      <w:pPr>
        <w:pStyle w:val="Normal"/>
        <w:snapToGrid w:val="false"/>
        <w:rPr>
          <w:rFonts w:ascii="宋体" w:hAnsi="宋体"/>
          <w:b/>
          <w:b/>
          <w:bCs/>
          <w:szCs w:val="21"/>
        </w:rPr>
      </w:pPr>
      <w:r>
        <w:rPr>
          <w:rFonts w:ascii="宋体" w:hAnsi="宋体"/>
          <w:b/>
          <w:bCs/>
          <w:szCs w:val="21"/>
        </w:rPr>
      </w:r>
    </w:p>
    <w:p>
      <w:pPr>
        <w:pStyle w:val="Normal"/>
        <w:spacing w:lineRule="auto" w:line="360"/>
        <w:rPr>
          <w:rFonts w:ascii="微软雅黑" w:hAnsi="微软雅黑" w:eastAsia="微软雅黑" w:cs="Times New Roman"/>
          <w:b/>
          <w:b/>
          <w:bCs/>
          <w:color w:val="2E75B6" w:themeColor="accent5" w:themeShade="bf"/>
          <w:sz w:val="24"/>
          <w:szCs w:val="24"/>
        </w:rPr>
      </w:pPr>
      <w:r>
        <w:rPr>
          <w:rFonts w:eastAsia="微软雅黑" w:cs="Times New Roman" w:ascii="微软雅黑" w:hAnsi="微软雅黑"/>
          <w:b/>
          <w:bCs/>
          <w:color w:val="2E75B6" w:themeColor="accent5" w:themeShade="bf"/>
          <w:sz w:val="24"/>
          <w:szCs w:val="24"/>
        </w:rPr>
      </w:r>
    </w:p>
    <w:p>
      <w:pPr>
        <w:pStyle w:val="Normal"/>
        <w:spacing w:lineRule="auto" w:line="360"/>
        <w:rPr>
          <w:rFonts w:ascii="微软雅黑" w:hAnsi="微软雅黑" w:eastAsia="微软雅黑" w:cs="Times New Roman"/>
          <w:b/>
          <w:b/>
          <w:bCs/>
          <w:color w:val="2E75B6" w:themeColor="accent5" w:themeShade="bf"/>
          <w:sz w:val="24"/>
          <w:szCs w:val="24"/>
        </w:rPr>
      </w:pPr>
      <w:r>
        <w:rPr>
          <w:rFonts w:eastAsia="微软雅黑" w:cs="Times New Roman" w:ascii="微软雅黑" w:hAnsi="微软雅黑"/>
          <w:b/>
          <w:bCs/>
          <w:color w:val="2E75B6" w:themeColor="accent5" w:themeShade="bf"/>
          <w:sz w:val="24"/>
          <w:szCs w:val="24"/>
        </w:rPr>
      </w:r>
    </w:p>
    <w:p>
      <w:pPr>
        <w:pStyle w:val="Normal"/>
        <w:spacing w:lineRule="auto" w:line="360"/>
        <w:rPr>
          <w:rFonts w:ascii="微软雅黑" w:hAnsi="微软雅黑" w:eastAsia="微软雅黑" w:cs="Times New Roman"/>
          <w:b/>
          <w:b/>
          <w:bCs/>
          <w:color w:val="2E75B6" w:themeColor="accent5" w:themeShade="bf"/>
          <w:sz w:val="24"/>
          <w:szCs w:val="24"/>
        </w:rPr>
      </w:pPr>
      <w:r>
        <w:rPr>
          <w:rFonts w:eastAsia="微软雅黑" w:cs="Times New Roman" w:ascii="微软雅黑" w:hAnsi="微软雅黑"/>
          <w:b/>
          <w:bCs/>
          <w:color w:val="2E75B6" w:themeColor="accent5" w:themeShade="bf"/>
          <w:sz w:val="24"/>
          <w:szCs w:val="24"/>
        </w:rPr>
      </w:r>
    </w:p>
    <w:p>
      <w:pPr>
        <w:pStyle w:val="Normal"/>
        <w:jc w:val="left"/>
        <w:rPr>
          <w:rFonts w:ascii="微软雅黑" w:hAnsi="微软雅黑" w:eastAsia="微软雅黑" w:cs="Times New Roman"/>
          <w:b/>
          <w:b/>
          <w:bCs/>
          <w:color w:val="2E75B6" w:themeColor="accent5" w:themeShade="bf"/>
          <w:sz w:val="24"/>
          <w:szCs w:val="24"/>
        </w:rPr>
      </w:pPr>
      <w:r>
        <w:rPr>
          <w:rFonts w:ascii="微软雅黑" w:hAnsi="微软雅黑" w:cs="Times New Roman" w:eastAsia="微软雅黑"/>
          <w:b/>
          <w:bCs/>
          <w:color w:val="2E75B6" w:themeColor="accent5" w:themeShade="bf"/>
          <w:sz w:val="24"/>
          <w:szCs w:val="24"/>
        </w:rPr>
        <w:t>课程框架</w:t>
      </w:r>
    </w:p>
    <w:p>
      <w:pPr>
        <w:sectPr>
          <w:headerReference w:type="default" r:id="rId3"/>
          <w:type w:val="nextPage"/>
          <w:pgSz w:w="11906" w:h="16838"/>
          <w:pgMar w:left="1418" w:right="1797" w:header="851" w:top="1440" w:footer="0" w:bottom="1440" w:gutter="0"/>
          <w:pgNumType w:fmt="decimal"/>
          <w:formProt w:val="false"/>
          <w:textDirection w:val="lrTb"/>
          <w:docGrid w:type="default" w:linePitch="600" w:charSpace="38911"/>
        </w:sectPr>
      </w:pPr>
    </w:p>
    <w:p>
      <w:pPr>
        <w:pStyle w:val="Normal"/>
        <w:snapToGrid w:val="false"/>
        <w:spacing w:lineRule="auto" w:line="360"/>
        <w:jc w:val="center"/>
        <w:rPr/>
      </w:pPr>
      <w:r>
        <w:rPr/>
        <w:drawing>
          <wp:inline distT="0" distB="0" distL="0" distR="6350">
            <wp:extent cx="1993900" cy="2276475"/>
            <wp:effectExtent l="0" t="0" r="0" b="0"/>
            <wp:docPr id="6" name="图片 2" descr="C:\Users\rbs\AppData\Local\Temp\WeChat Files\63252809948798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rbs\AppData\Local\Temp\WeChat Files\632528099487982902.png"/>
                    <pic:cNvPicPr>
                      <a:picLocks noChangeAspect="1" noChangeArrowheads="1"/>
                    </pic:cNvPicPr>
                  </pic:nvPicPr>
                  <pic:blipFill>
                    <a:blip r:embed="rId4"/>
                    <a:stretch>
                      <a:fillRect/>
                    </a:stretch>
                  </pic:blipFill>
                  <pic:spPr bwMode="auto">
                    <a:xfrm>
                      <a:off x="0" y="0"/>
                      <a:ext cx="1993900" cy="2276475"/>
                    </a:xfrm>
                    <a:prstGeom prst="rect">
                      <a:avLst/>
                    </a:prstGeom>
                  </pic:spPr>
                </pic:pic>
              </a:graphicData>
            </a:graphic>
          </wp:inline>
        </w:drawing>
      </w:r>
    </w:p>
    <w:p>
      <w:pPr>
        <w:pStyle w:val="Normal"/>
        <w:snapToGrid w:val="false"/>
        <w:spacing w:lineRule="auto" w:line="360"/>
        <w:ind w:firstLine="420"/>
        <w:rPr>
          <w:rFonts w:ascii="微软雅黑" w:hAnsi="微软雅黑" w:eastAsia="微软雅黑" w:cs="Times New Roman"/>
          <w:b/>
          <w:b/>
          <w:bCs/>
          <w:color w:val="2E75B6" w:themeColor="accent5" w:themeShade="bf"/>
          <w:sz w:val="24"/>
          <w:szCs w:val="24"/>
        </w:rPr>
      </w:pPr>
      <w:r>
        <w:rPr/>
        <w:t>本项目围绕“知行合一”，从“时代洞察、战略升级、文化融炼、管理整合、组织变革、价值管理”六大课程模块安排必修和选修课程，融合教授授课、行业领袖实践分享及对话、行动学习、沙盘模拟、学员自身企业案例讨论及友好咨询、跨界参访与</w:t>
      </w:r>
      <w:r>
        <w:rPr/>
        <w:t>HR</w:t>
      </w:r>
      <w:r>
        <w:rPr/>
        <w:t>高峰论坛等多种教学形式达成学习目标，力求帮助学员们把握前沿，构建系统，认知升维，行动降维。</w:t>
      </w:r>
    </w:p>
    <w:p>
      <w:pPr>
        <w:sectPr>
          <w:type w:val="continuous"/>
          <w:pgSz w:w="11906" w:h="16838"/>
          <w:pgMar w:left="1418" w:right="1797" w:header="851" w:top="1440" w:footer="0" w:bottom="1440" w:gutter="0"/>
          <w:formProt w:val="false"/>
          <w:textDirection w:val="lrTb"/>
          <w:docGrid w:type="default" w:linePitch="600" w:charSpace="38911"/>
        </w:sectPr>
      </w:pPr>
    </w:p>
    <w:p>
      <w:pPr>
        <w:pStyle w:val="Normal"/>
        <w:jc w:val="left"/>
        <w:rPr>
          <w:rFonts w:ascii="微软雅黑" w:hAnsi="微软雅黑" w:eastAsia="微软雅黑" w:cs="Times New Roman"/>
          <w:b/>
          <w:b/>
          <w:bCs/>
          <w:color w:val="2E75B6" w:themeColor="accent5" w:themeShade="bf"/>
          <w:sz w:val="10"/>
          <w:szCs w:val="10"/>
        </w:rPr>
      </w:pPr>
      <w:r>
        <w:rPr>
          <w:rFonts w:eastAsia="微软雅黑" w:cs="Times New Roman" w:ascii="微软雅黑" w:hAnsi="微软雅黑"/>
          <w:b/>
          <w:bCs/>
          <w:color w:val="2E75B6" w:themeColor="accent5" w:themeShade="bf"/>
          <w:sz w:val="10"/>
          <w:szCs w:val="10"/>
        </w:rPr>
      </w:r>
    </w:p>
    <w:p>
      <w:pPr>
        <w:pStyle w:val="Normal"/>
        <w:jc w:val="left"/>
        <w:rPr>
          <w:rFonts w:ascii="Helvetica" w:hAnsi="Helvetica" w:cs="Helvetica"/>
          <w:color w:val="3E3E3E"/>
          <w:highlight w:val="white"/>
        </w:rPr>
      </w:pPr>
      <w:r>
        <w:rPr>
          <w:rFonts w:ascii="微软雅黑" w:hAnsi="微软雅黑" w:cs="Times New Roman" w:eastAsia="微软雅黑"/>
          <w:b/>
          <w:bCs/>
          <w:color w:val="2E75B6" w:themeColor="accent5" w:themeShade="bf"/>
          <w:sz w:val="24"/>
          <w:szCs w:val="24"/>
        </w:rPr>
        <w:t>课程设置</w:t>
      </w:r>
    </w:p>
    <w:tbl>
      <w:tblPr>
        <w:tblStyle w:val="7"/>
        <w:tblW w:w="9356" w:type="dxa"/>
        <w:jc w:val="left"/>
        <w:tblInd w:w="0" w:type="dxa"/>
        <w:tblCellMar>
          <w:top w:w="0" w:type="dxa"/>
          <w:left w:w="108" w:type="dxa"/>
          <w:bottom w:w="0" w:type="dxa"/>
          <w:right w:w="108" w:type="dxa"/>
        </w:tblCellMar>
      </w:tblPr>
      <w:tblGrid>
        <w:gridCol w:w="9356"/>
      </w:tblGrid>
      <w:tr>
        <w:trPr>
          <w:trHeight w:val="602" w:hRule="atLeast"/>
        </w:trPr>
        <w:tc>
          <w:tcPr>
            <w:tcW w:w="9356" w:type="dxa"/>
            <w:tcBorders>
              <w:top w:val="nil"/>
              <w:left w:val="nil"/>
              <w:bottom w:val="nil"/>
              <w:right w:val="nil"/>
              <w:insideH w:val="nil"/>
              <w:insideV w:val="nil"/>
            </w:tcBorders>
            <w:shd w:color="auto" w:fill="00B0F0" w:val="clear"/>
            <w:vAlign w:val="center"/>
          </w:tcPr>
          <w:p>
            <w:pPr>
              <w:pStyle w:val="Normal"/>
              <w:snapToGrid w:val="false"/>
              <w:rPr>
                <w:rFonts w:ascii="Helvetica" w:hAnsi="Helvetica" w:cs="Helvetica"/>
                <w:color w:val="3E3E3E"/>
                <w:highlight w:val="white"/>
              </w:rPr>
            </w:pPr>
            <w:r>
              <w:rPr>
                <w:rFonts w:cs="Helvetica" w:ascii="Helvetica" w:hAnsi="Helvetica"/>
                <w:b/>
                <w:color w:val="FFFFFF" w:themeColor="background1"/>
                <w:sz w:val="28"/>
                <w14:textFill>
                  <w14:solidFill>
                    <w14:schemeClr w14:val="bg1"/>
                  </w14:solidFill>
                </w14:textFill>
              </w:rPr>
              <w:t>01</w:t>
            </w:r>
            <w:r>
              <w:rPr>
                <w:rFonts w:ascii="Helvetica" w:hAnsi="Helvetica" w:cs="Helvetica"/>
                <w:b/>
                <w:color w:val="FFFFFF" w:themeColor="background1"/>
                <w:sz w:val="28"/>
                <w14:textFill>
                  <w14:solidFill>
                    <w14:schemeClr w14:val="bg1"/>
                  </w14:solidFill>
                </w14:textFill>
              </w:rPr>
              <w:t xml:space="preserve">时代洞察 </w:t>
            </w:r>
            <w:r>
              <w:rPr>
                <w:rFonts w:ascii="Helvetica" w:hAnsi="Helvetica" w:cs="Helvetica"/>
                <w:b/>
                <w:color w:val="3E3E3E"/>
                <w:sz w:val="28"/>
              </w:rPr>
              <w:t xml:space="preserve">                                   </w:t>
            </w:r>
          </w:p>
        </w:tc>
      </w:tr>
      <w:tr>
        <w:trPr>
          <w:trHeight w:val="365" w:hRule="atLeast"/>
        </w:trPr>
        <w:tc>
          <w:tcPr>
            <w:tcW w:w="9356"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highlight w:val="white"/>
              </w:rPr>
            </w:pPr>
            <w:r>
              <w:rPr>
                <w:b/>
              </w:rPr>
              <w:t>核心内容</w:t>
            </w:r>
          </w:p>
        </w:tc>
      </w:tr>
      <w:tr>
        <w:trPr>
          <w:trHeight w:val="365" w:hRule="atLeast"/>
        </w:trPr>
        <w:tc>
          <w:tcPr>
            <w:tcW w:w="9356" w:type="dxa"/>
            <w:tcBorders>
              <w:top w:val="nil"/>
              <w:left w:val="nil"/>
              <w:bottom w:val="nil"/>
              <w:right w:val="nil"/>
              <w:insideH w:val="nil"/>
              <w:insideV w:val="nil"/>
            </w:tcBorders>
            <w:shd w:fill="auto" w:val="clear"/>
          </w:tcPr>
          <w:p>
            <w:pPr>
              <w:pStyle w:val="ListParagraph"/>
              <w:numPr>
                <w:ilvl w:val="0"/>
                <w:numId w:val="3"/>
              </w:numPr>
              <w:snapToGrid w:val="false"/>
              <w:spacing w:lineRule="auto" w:line="360"/>
              <w:jc w:val="left"/>
              <w:rPr>
                <w:b/>
                <w:b/>
              </w:rPr>
            </w:pPr>
            <w:r>
              <w:rPr>
                <w:w w:val="90"/>
                <w:szCs w:val="21"/>
              </w:rPr>
              <w:t>宏观经济解读与劳动力市场分析</w:t>
            </w:r>
          </w:p>
        </w:tc>
      </w:tr>
      <w:tr>
        <w:trPr>
          <w:trHeight w:val="426" w:hRule="atLeast"/>
        </w:trPr>
        <w:tc>
          <w:tcPr>
            <w:tcW w:w="935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w w:val="90"/>
                <w:szCs w:val="21"/>
              </w:rPr>
              <w:t>全球人力资本趋势</w:t>
            </w:r>
          </w:p>
        </w:tc>
      </w:tr>
      <w:tr>
        <w:trPr>
          <w:trHeight w:val="442" w:hRule="atLeast"/>
        </w:trPr>
        <w:tc>
          <w:tcPr>
            <w:tcW w:w="935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w w:val="90"/>
                <w:szCs w:val="21"/>
              </w:rPr>
              <w:t>未来的组织变革与人才管理创新</w:t>
            </w:r>
          </w:p>
        </w:tc>
      </w:tr>
      <w:tr>
        <w:trPr>
          <w:trHeight w:val="118" w:hRule="atLeast"/>
        </w:trPr>
        <w:tc>
          <w:tcPr>
            <w:tcW w:w="935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w w:val="90"/>
                <w:szCs w:val="21"/>
              </w:rPr>
              <w:t>全球科技潮流和产业创新</w:t>
            </w:r>
          </w:p>
        </w:tc>
      </w:tr>
    </w:tbl>
    <w:p>
      <w:pPr>
        <w:pStyle w:val="Normal"/>
        <w:snapToGrid w:val="false"/>
        <w:spacing w:lineRule="auto" w:line="360"/>
        <w:jc w:val="left"/>
        <w:rPr>
          <w:rFonts w:ascii="Helvetica" w:hAnsi="Helvetica" w:cs="Helvetica"/>
          <w:color w:val="3E3E3E"/>
          <w:highlight w:val="white"/>
        </w:rPr>
      </w:pPr>
      <w:r>
        <w:rPr>
          <w:rFonts w:cs="Helvetica" w:ascii="Helvetica" w:hAnsi="Helvetica"/>
          <w:color w:val="3E3E3E"/>
          <w:shd w:fill="FFFFFF" w:val="clear"/>
        </w:rPr>
      </w:r>
    </w:p>
    <w:tbl>
      <w:tblPr>
        <w:tblStyle w:val="7"/>
        <w:tblW w:w="9356" w:type="dxa"/>
        <w:jc w:val="left"/>
        <w:tblInd w:w="0" w:type="dxa"/>
        <w:tblCellMar>
          <w:top w:w="0" w:type="dxa"/>
          <w:left w:w="108" w:type="dxa"/>
          <w:bottom w:w="0" w:type="dxa"/>
          <w:right w:w="108" w:type="dxa"/>
        </w:tblCellMar>
      </w:tblPr>
      <w:tblGrid>
        <w:gridCol w:w="3695"/>
        <w:gridCol w:w="5660"/>
      </w:tblGrid>
      <w:tr>
        <w:trPr>
          <w:trHeight w:val="610" w:hRule="atLeast"/>
        </w:trPr>
        <w:tc>
          <w:tcPr>
            <w:tcW w:w="9355" w:type="dxa"/>
            <w:gridSpan w:val="2"/>
            <w:tcBorders>
              <w:top w:val="nil"/>
              <w:left w:val="nil"/>
              <w:bottom w:val="nil"/>
              <w:right w:val="nil"/>
              <w:insideH w:val="nil"/>
              <w:insideV w:val="nil"/>
            </w:tcBorders>
            <w:shd w:color="auto" w:fill="00B0F0" w:val="clear"/>
            <w:vAlign w:val="center"/>
          </w:tcPr>
          <w:p>
            <w:pPr>
              <w:pStyle w:val="Normal"/>
              <w:snapToGrid w:val="false"/>
              <w:rPr>
                <w:rFonts w:ascii="Helvetica" w:hAnsi="Helvetica" w:cs="Helvetica"/>
                <w:color w:val="3E3E3E"/>
                <w:highlight w:val="white"/>
              </w:rPr>
            </w:pPr>
            <w:r>
              <w:rPr>
                <w:rFonts w:cs="Helvetica" w:ascii="Helvetica" w:hAnsi="Helvetica"/>
                <w:b/>
                <w:color w:val="FFFFFF" w:themeColor="background1"/>
                <w:sz w:val="28"/>
                <w14:textFill>
                  <w14:solidFill>
                    <w14:schemeClr w14:val="bg1"/>
                  </w14:solidFill>
                </w14:textFill>
              </w:rPr>
              <w:t>02</w:t>
            </w:r>
            <w:r>
              <w:rPr>
                <w:rFonts w:ascii="Helvetica" w:hAnsi="Helvetica" w:cs="Helvetica"/>
                <w:b/>
                <w:color w:val="FFFFFF" w:themeColor="background1"/>
                <w:sz w:val="28"/>
                <w14:textFill>
                  <w14:solidFill>
                    <w14:schemeClr w14:val="bg1"/>
                  </w14:solidFill>
                </w14:textFill>
              </w:rPr>
              <w:t xml:space="preserve">战略升级 </w:t>
            </w:r>
            <w:r>
              <w:rPr>
                <w:rFonts w:ascii="Helvetica" w:hAnsi="Helvetica" w:cs="Helvetica"/>
                <w:b/>
                <w:color w:val="3E3E3E"/>
                <w:sz w:val="28"/>
              </w:rPr>
              <w:t xml:space="preserve">              </w:t>
            </w:r>
          </w:p>
        </w:tc>
      </w:tr>
      <w:tr>
        <w:trPr>
          <w:trHeight w:val="283" w:hRule="atLeast"/>
        </w:trPr>
        <w:tc>
          <w:tcPr>
            <w:tcW w:w="3695"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highlight w:val="white"/>
              </w:rPr>
            </w:pPr>
            <w:r>
              <w:rPr>
                <w:b/>
              </w:rPr>
              <w:t>核心内容</w:t>
            </w:r>
          </w:p>
        </w:tc>
        <w:tc>
          <w:tcPr>
            <w:tcW w:w="5660" w:type="dxa"/>
            <w:tcBorders>
              <w:top w:val="nil"/>
              <w:left w:val="nil"/>
              <w:bottom w:val="nil"/>
              <w:right w:val="nil"/>
              <w:insideH w:val="nil"/>
              <w:insideV w:val="nil"/>
            </w:tcBorders>
            <w:shd w:fill="auto" w:val="clear"/>
          </w:tcPr>
          <w:p>
            <w:pPr>
              <w:pStyle w:val="Normal"/>
              <w:rPr/>
            </w:pPr>
            <w:r>
              <w:rPr/>
            </w:r>
          </w:p>
        </w:tc>
      </w:tr>
      <w:tr>
        <w:trPr>
          <w:trHeight w:val="416" w:hRule="atLeast"/>
        </w:trPr>
        <w:tc>
          <w:tcPr>
            <w:tcW w:w="3695"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rFonts w:ascii="Helvetica" w:hAnsi="Helvetica" w:cs="Helvetica"/>
                <w:color w:val="3E3E3E"/>
                <w:w w:val="90"/>
                <w:szCs w:val="21"/>
                <w:shd w:fill="FFFFFF" w:val="clear"/>
              </w:rPr>
              <w:t>企业战略与商业模式创新</w:t>
            </w:r>
          </w:p>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rFonts w:ascii="Helvetica" w:hAnsi="Helvetica" w:cs="Helvetica"/>
                <w:color w:val="3E3E3E"/>
                <w:w w:val="90"/>
                <w:szCs w:val="21"/>
                <w:shd w:fill="FFFFFF" w:val="clear"/>
              </w:rPr>
              <w:t>人力资源战略规划</w:t>
            </w:r>
          </w:p>
        </w:tc>
        <w:tc>
          <w:tcPr>
            <w:tcW w:w="5660" w:type="dxa"/>
            <w:tcBorders>
              <w:top w:val="nil"/>
              <w:left w:val="nil"/>
              <w:bottom w:val="nil"/>
              <w:right w:val="nil"/>
              <w:insideH w:val="nil"/>
              <w:insideV w:val="nil"/>
            </w:tcBorders>
            <w:shd w:fill="auto" w:val="clear"/>
          </w:tcPr>
          <w:p>
            <w:pPr>
              <w:pStyle w:val="Normal"/>
              <w:rPr/>
            </w:pPr>
            <w:r>
              <w:rPr/>
            </w:r>
          </w:p>
        </w:tc>
      </w:tr>
      <w:tr>
        <w:trPr>
          <w:trHeight w:val="68" w:hRule="atLeast"/>
        </w:trPr>
        <w:tc>
          <w:tcPr>
            <w:tcW w:w="3695"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w w:val="90"/>
                <w:szCs w:val="21"/>
              </w:rPr>
              <w:t>CEO</w:t>
            </w:r>
            <w:r>
              <w:rPr>
                <w:w w:val="90"/>
                <w:szCs w:val="21"/>
              </w:rPr>
              <w:t>视角：人力资源战略转型新路径</w:t>
            </w:r>
          </w:p>
        </w:tc>
        <w:tc>
          <w:tcPr>
            <w:tcW w:w="5660" w:type="dxa"/>
            <w:tcBorders>
              <w:top w:val="nil"/>
              <w:left w:val="nil"/>
              <w:bottom w:val="nil"/>
              <w:right w:val="nil"/>
              <w:insideH w:val="nil"/>
              <w:insideV w:val="nil"/>
            </w:tcBorders>
            <w:shd w:fill="auto" w:val="clear"/>
          </w:tcPr>
          <w:p>
            <w:pPr>
              <w:pStyle w:val="Normal"/>
              <w:rPr/>
            </w:pPr>
            <w:r>
              <w:rPr/>
            </w:r>
          </w:p>
        </w:tc>
      </w:tr>
      <w:tr>
        <w:trPr>
          <w:trHeight w:val="431" w:hRule="atLeast"/>
        </w:trPr>
        <w:tc>
          <w:tcPr>
            <w:tcW w:w="3695"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color w:val="3E3E3E"/>
                <w:w w:val="90"/>
                <w:szCs w:val="21"/>
                <w:highlight w:val="white"/>
              </w:rPr>
            </w:pPr>
            <w:r>
              <w:rPr>
                <w:w w:val="90"/>
                <w:szCs w:val="21"/>
              </w:rPr>
              <w:t>国际化战略与国际化人才管理</w:t>
            </w:r>
          </w:p>
        </w:tc>
        <w:tc>
          <w:tcPr>
            <w:tcW w:w="5660" w:type="dxa"/>
            <w:tcBorders>
              <w:top w:val="nil"/>
              <w:left w:val="nil"/>
              <w:bottom w:val="nil"/>
              <w:right w:val="nil"/>
              <w:insideH w:val="nil"/>
              <w:insideV w:val="nil"/>
            </w:tcBorders>
            <w:shd w:fill="auto" w:val="clear"/>
          </w:tcPr>
          <w:p>
            <w:pPr>
              <w:pStyle w:val="Normal"/>
              <w:rPr/>
            </w:pPr>
            <w:r>
              <w:rPr/>
            </w:r>
          </w:p>
        </w:tc>
      </w:tr>
    </w:tbl>
    <w:p>
      <w:pPr>
        <w:pStyle w:val="Normal"/>
        <w:snapToGrid w:val="false"/>
        <w:spacing w:lineRule="auto" w:line="360"/>
        <w:jc w:val="left"/>
        <w:rPr>
          <w:rFonts w:ascii="Helvetica" w:hAnsi="Helvetica" w:cs="Helvetica"/>
          <w:color w:val="3E3E3E"/>
          <w:highlight w:val="white"/>
        </w:rPr>
      </w:pPr>
      <w:r>
        <w:rPr>
          <w:rFonts w:cs="Helvetica" w:ascii="Helvetica" w:hAnsi="Helvetica"/>
          <w:color w:val="3E3E3E"/>
          <w:shd w:fill="FFFFFF" w:val="clear"/>
        </w:rPr>
      </w:r>
    </w:p>
    <w:p>
      <w:pPr>
        <w:pStyle w:val="Normal"/>
        <w:snapToGrid w:val="false"/>
        <w:spacing w:lineRule="auto" w:line="360"/>
        <w:jc w:val="left"/>
        <w:rPr>
          <w:rFonts w:ascii="Helvetica" w:hAnsi="Helvetica" w:cs="Helvetica"/>
          <w:color w:val="3E3E3E"/>
          <w:highlight w:val="white"/>
        </w:rPr>
      </w:pPr>
      <w:r>
        <w:rPr>
          <w:rFonts w:cs="Helvetica" w:ascii="Helvetica" w:hAnsi="Helvetica"/>
          <w:color w:val="3E3E3E"/>
          <w:shd w:fill="FFFFFF" w:val="clear"/>
        </w:rPr>
      </w:r>
    </w:p>
    <w:tbl>
      <w:tblPr>
        <w:tblStyle w:val="7"/>
        <w:tblW w:w="9356" w:type="dxa"/>
        <w:jc w:val="left"/>
        <w:tblInd w:w="0" w:type="dxa"/>
        <w:tblCellMar>
          <w:top w:w="0" w:type="dxa"/>
          <w:left w:w="108" w:type="dxa"/>
          <w:bottom w:w="0" w:type="dxa"/>
          <w:right w:w="108" w:type="dxa"/>
        </w:tblCellMar>
      </w:tblPr>
      <w:tblGrid>
        <w:gridCol w:w="3686"/>
        <w:gridCol w:w="5669"/>
      </w:tblGrid>
      <w:tr>
        <w:trPr>
          <w:trHeight w:val="574" w:hRule="atLeast"/>
        </w:trPr>
        <w:tc>
          <w:tcPr>
            <w:tcW w:w="9355" w:type="dxa"/>
            <w:gridSpan w:val="2"/>
            <w:tcBorders>
              <w:top w:val="nil"/>
              <w:left w:val="nil"/>
              <w:bottom w:val="nil"/>
              <w:right w:val="nil"/>
              <w:insideH w:val="nil"/>
              <w:insideV w:val="nil"/>
            </w:tcBorders>
            <w:shd w:color="auto" w:fill="00B0F0" w:val="clear"/>
            <w:vAlign w:val="center"/>
          </w:tcPr>
          <w:p>
            <w:pPr>
              <w:pStyle w:val="Normal"/>
              <w:snapToGrid w:val="false"/>
              <w:rPr>
                <w:rFonts w:ascii="Helvetica" w:hAnsi="Helvetica" w:cs="Helvetica"/>
                <w:color w:val="3E3E3E"/>
                <w:highlight w:val="white"/>
              </w:rPr>
            </w:pPr>
            <w:r>
              <w:rPr>
                <w:rFonts w:cs="Helvetica" w:ascii="Helvetica" w:hAnsi="Helvetica"/>
                <w:b/>
                <w:color w:val="FFFFFF" w:themeColor="background1"/>
                <w:sz w:val="28"/>
                <w14:textFill>
                  <w14:solidFill>
                    <w14:schemeClr w14:val="bg1"/>
                  </w14:solidFill>
                </w14:textFill>
              </w:rPr>
              <w:t>03</w:t>
            </w:r>
            <w:r>
              <w:rPr>
                <w:rFonts w:ascii="Helvetica" w:hAnsi="Helvetica" w:cs="Helvetica"/>
                <w:b/>
                <w:color w:val="FFFFFF" w:themeColor="background1"/>
                <w:sz w:val="28"/>
                <w14:textFill>
                  <w14:solidFill>
                    <w14:schemeClr w14:val="bg1"/>
                  </w14:solidFill>
                </w14:textFill>
              </w:rPr>
              <w:t xml:space="preserve">文化融炼 </w:t>
            </w:r>
            <w:r>
              <w:rPr>
                <w:rFonts w:ascii="Helvetica" w:hAnsi="Helvetica" w:cs="Helvetica"/>
                <w:b/>
                <w:color w:val="3E3E3E"/>
                <w:sz w:val="28"/>
              </w:rPr>
              <w:t xml:space="preserve">            </w:t>
            </w:r>
          </w:p>
        </w:tc>
      </w:tr>
      <w:tr>
        <w:trPr>
          <w:trHeight w:val="328" w:hRule="atLeast"/>
        </w:trPr>
        <w:tc>
          <w:tcPr>
            <w:tcW w:w="3686"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highlight w:val="white"/>
              </w:rPr>
            </w:pPr>
            <w:r>
              <w:rPr>
                <w:b/>
              </w:rPr>
              <w:t>核心内容</w:t>
            </w:r>
          </w:p>
        </w:tc>
        <w:tc>
          <w:tcPr>
            <w:tcW w:w="5669" w:type="dxa"/>
            <w:tcBorders>
              <w:top w:val="nil"/>
              <w:left w:val="nil"/>
              <w:bottom w:val="nil"/>
              <w:right w:val="nil"/>
              <w:insideH w:val="nil"/>
              <w:insideV w:val="nil"/>
            </w:tcBorders>
            <w:shd w:fill="auto" w:val="clear"/>
          </w:tcPr>
          <w:p>
            <w:pPr>
              <w:pStyle w:val="Normal"/>
              <w:rPr/>
            </w:pPr>
            <w:r>
              <w:rPr/>
            </w:r>
          </w:p>
        </w:tc>
      </w:tr>
      <w:tr>
        <w:trPr>
          <w:trHeight w:val="179" w:hRule="atLeast"/>
        </w:trPr>
        <w:tc>
          <w:tcPr>
            <w:tcW w:w="368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变革时代企业文化创新</w:t>
            </w:r>
          </w:p>
        </w:tc>
        <w:tc>
          <w:tcPr>
            <w:tcW w:w="5669" w:type="dxa"/>
            <w:tcBorders>
              <w:top w:val="nil"/>
              <w:left w:val="nil"/>
              <w:bottom w:val="nil"/>
              <w:right w:val="nil"/>
              <w:insideH w:val="nil"/>
              <w:insideV w:val="nil"/>
            </w:tcBorders>
            <w:shd w:fill="auto" w:val="clear"/>
          </w:tcPr>
          <w:p>
            <w:pPr>
              <w:pStyle w:val="Normal"/>
              <w:rPr/>
            </w:pPr>
            <w:r>
              <w:rPr/>
            </w:r>
          </w:p>
        </w:tc>
      </w:tr>
      <w:tr>
        <w:trPr>
          <w:trHeight w:val="424" w:hRule="atLeast"/>
        </w:trPr>
        <w:tc>
          <w:tcPr>
            <w:tcW w:w="368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人力资源管理：人性、心理和文化</w:t>
            </w:r>
          </w:p>
        </w:tc>
        <w:tc>
          <w:tcPr>
            <w:tcW w:w="5669" w:type="dxa"/>
            <w:tcBorders>
              <w:top w:val="nil"/>
              <w:left w:val="nil"/>
              <w:bottom w:val="nil"/>
              <w:right w:val="nil"/>
              <w:insideH w:val="nil"/>
              <w:insideV w:val="nil"/>
            </w:tcBorders>
            <w:shd w:fill="auto" w:val="clear"/>
          </w:tcPr>
          <w:p>
            <w:pPr>
              <w:pStyle w:val="Normal"/>
              <w:rPr/>
            </w:pPr>
            <w:r>
              <w:rPr/>
            </w:r>
          </w:p>
        </w:tc>
      </w:tr>
      <w:tr>
        <w:trPr>
          <w:trHeight w:val="424" w:hRule="atLeast"/>
        </w:trPr>
        <w:tc>
          <w:tcPr>
            <w:tcW w:w="368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企业并购中的文化整合</w:t>
            </w:r>
          </w:p>
        </w:tc>
        <w:tc>
          <w:tcPr>
            <w:tcW w:w="5669" w:type="dxa"/>
            <w:tcBorders>
              <w:top w:val="nil"/>
              <w:left w:val="nil"/>
              <w:bottom w:val="nil"/>
              <w:right w:val="nil"/>
              <w:insideH w:val="nil"/>
              <w:insideV w:val="nil"/>
            </w:tcBorders>
            <w:shd w:fill="auto" w:val="clear"/>
          </w:tcPr>
          <w:p>
            <w:pPr>
              <w:pStyle w:val="Normal"/>
              <w:rPr/>
            </w:pPr>
            <w:r>
              <w:rPr/>
            </w:r>
          </w:p>
        </w:tc>
      </w:tr>
      <w:tr>
        <w:trPr>
          <w:trHeight w:val="384" w:hRule="atLeast"/>
        </w:trPr>
        <w:tc>
          <w:tcPr>
            <w:tcW w:w="368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中国传统文化与管理哲学</w:t>
            </w:r>
          </w:p>
        </w:tc>
        <w:tc>
          <w:tcPr>
            <w:tcW w:w="5669" w:type="dxa"/>
            <w:tcBorders>
              <w:top w:val="nil"/>
              <w:left w:val="nil"/>
              <w:bottom w:val="nil"/>
              <w:right w:val="nil"/>
              <w:insideH w:val="nil"/>
              <w:insideV w:val="nil"/>
            </w:tcBorders>
            <w:shd w:fill="auto" w:val="clear"/>
          </w:tcPr>
          <w:p>
            <w:pPr>
              <w:pStyle w:val="Normal"/>
              <w:rPr/>
            </w:pPr>
            <w:r>
              <w:rPr/>
            </w:r>
          </w:p>
        </w:tc>
      </w:tr>
      <w:tr>
        <w:trPr>
          <w:trHeight w:val="424" w:hRule="atLeast"/>
        </w:trPr>
        <w:tc>
          <w:tcPr>
            <w:tcW w:w="3686"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王阳明及其心学思想</w:t>
            </w:r>
          </w:p>
        </w:tc>
        <w:tc>
          <w:tcPr>
            <w:tcW w:w="5669" w:type="dxa"/>
            <w:tcBorders>
              <w:top w:val="nil"/>
              <w:left w:val="nil"/>
              <w:bottom w:val="nil"/>
              <w:right w:val="nil"/>
              <w:insideH w:val="nil"/>
              <w:insideV w:val="nil"/>
            </w:tcBorders>
            <w:shd w:fill="auto" w:val="clear"/>
          </w:tcPr>
          <w:p>
            <w:pPr>
              <w:pStyle w:val="Normal"/>
              <w:rPr/>
            </w:pPr>
            <w:r>
              <w:rPr/>
            </w:r>
          </w:p>
        </w:tc>
      </w:tr>
    </w:tbl>
    <w:p>
      <w:pPr>
        <w:pStyle w:val="Normal"/>
        <w:snapToGrid w:val="false"/>
        <w:spacing w:lineRule="auto" w:line="360"/>
        <w:jc w:val="left"/>
        <w:rPr>
          <w:rFonts w:ascii="Helvetica" w:hAnsi="Helvetica" w:cs="Helvetica"/>
          <w:color w:val="3E3E3E"/>
          <w:highlight w:val="white"/>
        </w:rPr>
      </w:pPr>
      <w:r>
        <w:rPr>
          <w:rFonts w:cs="Helvetica" w:ascii="Helvetica" w:hAnsi="Helvetica"/>
          <w:color w:val="3E3E3E"/>
          <w:shd w:fill="FFFFFF" w:val="clear"/>
        </w:rPr>
      </w:r>
    </w:p>
    <w:tbl>
      <w:tblPr>
        <w:tblStyle w:val="7"/>
        <w:tblW w:w="9356" w:type="dxa"/>
        <w:jc w:val="left"/>
        <w:tblInd w:w="0" w:type="dxa"/>
        <w:tblCellMar>
          <w:top w:w="0" w:type="dxa"/>
          <w:left w:w="108" w:type="dxa"/>
          <w:bottom w:w="0" w:type="dxa"/>
          <w:right w:w="108" w:type="dxa"/>
        </w:tblCellMar>
      </w:tblPr>
      <w:tblGrid>
        <w:gridCol w:w="3778"/>
        <w:gridCol w:w="1891"/>
        <w:gridCol w:w="3687"/>
      </w:tblGrid>
      <w:tr>
        <w:trPr>
          <w:trHeight w:val="623" w:hRule="atLeast"/>
        </w:trPr>
        <w:tc>
          <w:tcPr>
            <w:tcW w:w="9356" w:type="dxa"/>
            <w:gridSpan w:val="3"/>
            <w:tcBorders>
              <w:top w:val="nil"/>
              <w:left w:val="nil"/>
              <w:bottom w:val="nil"/>
              <w:right w:val="nil"/>
              <w:insideH w:val="nil"/>
              <w:insideV w:val="nil"/>
            </w:tcBorders>
            <w:shd w:color="auto" w:fill="00B0F0" w:val="clear"/>
            <w:vAlign w:val="center"/>
          </w:tcPr>
          <w:p>
            <w:pPr>
              <w:pStyle w:val="Normal"/>
              <w:snapToGrid w:val="false"/>
              <w:rPr>
                <w:rFonts w:ascii="Helvetica" w:hAnsi="Helvetica" w:cs="Helvetica"/>
                <w:b/>
                <w:b/>
                <w:color w:val="FFFFFF" w:themeColor="background1"/>
                <w:sz w:val="28"/>
                <w14:textFill>
                  <w14:solidFill>
                    <w14:schemeClr w14:val="bg1"/>
                  </w14:solidFill>
                </w14:textFill>
              </w:rPr>
            </w:pPr>
            <w:r>
              <w:rPr>
                <w:rFonts w:cs="Helvetica" w:ascii="Helvetica" w:hAnsi="Helvetica"/>
                <w:b/>
                <w:color w:val="FFFFFF" w:themeColor="background1"/>
                <w:sz w:val="28"/>
                <w14:textFill>
                  <w14:solidFill>
                    <w14:schemeClr w14:val="bg1"/>
                  </w14:solidFill>
                </w14:textFill>
              </w:rPr>
              <w:t>04</w:t>
            </w:r>
            <w:r>
              <w:rPr>
                <w:rFonts w:ascii="Helvetica" w:hAnsi="Helvetica" w:cs="Helvetica"/>
                <w:b/>
                <w:color w:val="FFFFFF" w:themeColor="background1"/>
                <w:sz w:val="28"/>
                <w14:textFill>
                  <w14:solidFill>
                    <w14:schemeClr w14:val="bg1"/>
                  </w14:solidFill>
                </w14:textFill>
              </w:rPr>
              <w:t xml:space="preserve">管理整合             </w:t>
            </w:r>
          </w:p>
        </w:tc>
      </w:tr>
      <w:tr>
        <w:trPr>
          <w:trHeight w:val="266" w:hRule="atLeast"/>
        </w:trPr>
        <w:tc>
          <w:tcPr>
            <w:tcW w:w="3778"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highlight w:val="white"/>
              </w:rPr>
            </w:pPr>
            <w:r>
              <w:rPr>
                <w:b/>
              </w:rPr>
              <w:t>核心内容</w:t>
            </w:r>
          </w:p>
        </w:tc>
        <w:tc>
          <w:tcPr>
            <w:tcW w:w="1891" w:type="dxa"/>
            <w:tcBorders>
              <w:top w:val="nil"/>
              <w:left w:val="nil"/>
              <w:bottom w:val="nil"/>
              <w:right w:val="nil"/>
              <w:insideH w:val="nil"/>
              <w:insideV w:val="nil"/>
            </w:tcBorders>
            <w:shd w:fill="auto" w:val="clear"/>
          </w:tcPr>
          <w:p>
            <w:pPr>
              <w:pStyle w:val="Normal"/>
              <w:rPr/>
            </w:pPr>
            <w:r>
              <w:rPr/>
            </w:r>
          </w:p>
        </w:tc>
        <w:tc>
          <w:tcPr>
            <w:tcW w:w="3687" w:type="dxa"/>
            <w:tcBorders>
              <w:top w:val="nil"/>
              <w:left w:val="nil"/>
              <w:bottom w:val="nil"/>
              <w:right w:val="nil"/>
              <w:insideH w:val="nil"/>
              <w:insideV w:val="nil"/>
            </w:tcBorders>
            <w:shd w:fill="auto" w:val="clear"/>
          </w:tcPr>
          <w:p>
            <w:pPr>
              <w:pStyle w:val="Normal"/>
              <w:rPr/>
            </w:pPr>
            <w:r>
              <w:rPr/>
            </w:r>
          </w:p>
        </w:tc>
      </w:tr>
      <w:tr>
        <w:trPr>
          <w:trHeight w:val="401" w:hRule="atLeast"/>
        </w:trPr>
        <w:tc>
          <w:tcPr>
            <w:tcW w:w="3778"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整合思维—企业经营管理沙盘模拟</w:t>
            </w:r>
          </w:p>
          <w:p>
            <w:pPr>
              <w:pStyle w:val="ListParagraph"/>
              <w:numPr>
                <w:ilvl w:val="0"/>
                <w:numId w:val="4"/>
              </w:numPr>
              <w:snapToGrid w:val="false"/>
              <w:spacing w:lineRule="auto" w:line="360"/>
              <w:jc w:val="left"/>
              <w:rPr>
                <w:w w:val="90"/>
                <w:szCs w:val="21"/>
              </w:rPr>
            </w:pPr>
            <w:r>
              <w:rPr>
                <w:w w:val="90"/>
                <w:szCs w:val="21"/>
              </w:rPr>
              <w:t>管理架构师：如何构建企业管理体系</w:t>
            </w:r>
          </w:p>
        </w:tc>
        <w:tc>
          <w:tcPr>
            <w:tcW w:w="18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b/>
                <w:b/>
                <w:color w:val="3E3E3E"/>
                <w:w w:val="90"/>
                <w:szCs w:val="21"/>
                <w:highlight w:val="white"/>
              </w:rPr>
            </w:pPr>
            <w:r>
              <w:rPr>
                <w:rFonts w:cs="Helvetica" w:ascii="Helvetica" w:hAnsi="Helvetica"/>
                <w:b/>
                <w:color w:val="3E3E3E"/>
                <w:w w:val="90"/>
                <w:szCs w:val="21"/>
                <w:shd w:fill="FFFFFF" w:val="clear"/>
              </w:rPr>
            </w:r>
          </w:p>
        </w:tc>
        <w:tc>
          <w:tcPr>
            <w:tcW w:w="3687" w:type="dxa"/>
            <w:tcBorders>
              <w:top w:val="nil"/>
              <w:left w:val="nil"/>
              <w:bottom w:val="nil"/>
              <w:right w:val="nil"/>
              <w:insideH w:val="nil"/>
              <w:insideV w:val="nil"/>
            </w:tcBorders>
            <w:shd w:fill="auto" w:val="clear"/>
          </w:tcPr>
          <w:p>
            <w:pPr>
              <w:pStyle w:val="Normal"/>
              <w:rPr/>
            </w:pPr>
            <w:r>
              <w:rPr/>
            </w:r>
          </w:p>
        </w:tc>
      </w:tr>
      <w:tr>
        <w:trPr>
          <w:trHeight w:val="572" w:hRule="atLeast"/>
        </w:trPr>
        <w:tc>
          <w:tcPr>
            <w:tcW w:w="5669" w:type="dxa"/>
            <w:gridSpan w:val="2"/>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b/>
                <w:b/>
                <w:color w:val="3E3E3E"/>
                <w:w w:val="90"/>
                <w:szCs w:val="21"/>
                <w:highlight w:val="white"/>
              </w:rPr>
            </w:pPr>
            <w:r>
              <w:rPr>
                <w:w w:val="90"/>
                <w:szCs w:val="21"/>
              </w:rPr>
              <w:t>CHO</w:t>
            </w:r>
            <w:r>
              <w:rPr>
                <w:w w:val="90"/>
                <w:szCs w:val="21"/>
              </w:rPr>
              <w:t>的财务思维：基于会计视角看组织与人才管理</w:t>
            </w:r>
          </w:p>
        </w:tc>
        <w:tc>
          <w:tcPr>
            <w:tcW w:w="3687" w:type="dxa"/>
            <w:tcBorders>
              <w:top w:val="nil"/>
              <w:left w:val="nil"/>
              <w:bottom w:val="nil"/>
              <w:right w:val="nil"/>
              <w:insideH w:val="nil"/>
              <w:insideV w:val="nil"/>
            </w:tcBorders>
            <w:shd w:fill="auto" w:val="clear"/>
          </w:tcPr>
          <w:p>
            <w:pPr>
              <w:pStyle w:val="Normal"/>
              <w:rPr/>
            </w:pPr>
            <w:r>
              <w:rPr/>
            </w:r>
          </w:p>
        </w:tc>
      </w:tr>
      <w:tr>
        <w:trPr>
          <w:trHeight w:val="221" w:hRule="atLeast"/>
        </w:trPr>
        <w:tc>
          <w:tcPr>
            <w:tcW w:w="3778"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CHO</w:t>
            </w:r>
            <w:r>
              <w:rPr>
                <w:w w:val="90"/>
                <w:szCs w:val="21"/>
              </w:rPr>
              <w:t>的营销与客户思维</w:t>
            </w:r>
          </w:p>
        </w:tc>
        <w:tc>
          <w:tcPr>
            <w:tcW w:w="18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b/>
                <w:b/>
                <w:color w:val="3E3E3E"/>
                <w:w w:val="90"/>
                <w:szCs w:val="21"/>
                <w:highlight w:val="white"/>
              </w:rPr>
            </w:pPr>
            <w:r>
              <w:rPr>
                <w:rFonts w:cs="Helvetica" w:ascii="Helvetica" w:hAnsi="Helvetica"/>
                <w:b/>
                <w:color w:val="3E3E3E"/>
                <w:w w:val="90"/>
                <w:szCs w:val="21"/>
                <w:shd w:fill="FFFFFF" w:val="clear"/>
              </w:rPr>
            </w:r>
          </w:p>
        </w:tc>
        <w:tc>
          <w:tcPr>
            <w:tcW w:w="3687" w:type="dxa"/>
            <w:tcBorders>
              <w:top w:val="nil"/>
              <w:left w:val="nil"/>
              <w:bottom w:val="nil"/>
              <w:right w:val="nil"/>
              <w:insideH w:val="nil"/>
              <w:insideV w:val="nil"/>
            </w:tcBorders>
            <w:shd w:fill="auto" w:val="clear"/>
          </w:tcPr>
          <w:p>
            <w:pPr>
              <w:pStyle w:val="Normal"/>
              <w:rPr/>
            </w:pPr>
            <w:r>
              <w:rPr/>
            </w:r>
          </w:p>
        </w:tc>
      </w:tr>
      <w:tr>
        <w:trPr>
          <w:trHeight w:val="666" w:hRule="atLeast"/>
        </w:trPr>
        <w:tc>
          <w:tcPr>
            <w:tcW w:w="5669" w:type="dxa"/>
            <w:gridSpan w:val="2"/>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rFonts w:ascii="Helvetica" w:hAnsi="Helvetica" w:cs="Helvetica"/>
                <w:b/>
                <w:b/>
                <w:color w:val="3E3E3E"/>
                <w:w w:val="90"/>
                <w:szCs w:val="21"/>
                <w:highlight w:val="white"/>
              </w:rPr>
            </w:pPr>
            <w:r>
              <w:rPr>
                <w:w w:val="90"/>
                <w:szCs w:val="21"/>
              </w:rPr>
              <w:t>融入价值链—人力与业务协同的关键策略</w:t>
            </w:r>
          </w:p>
        </w:tc>
        <w:tc>
          <w:tcPr>
            <w:tcW w:w="3687" w:type="dxa"/>
            <w:tcBorders>
              <w:top w:val="nil"/>
              <w:left w:val="nil"/>
              <w:bottom w:val="nil"/>
              <w:right w:val="nil"/>
              <w:insideH w:val="nil"/>
              <w:insideV w:val="nil"/>
            </w:tcBorders>
            <w:shd w:fill="auto" w:val="clear"/>
          </w:tcPr>
          <w:p>
            <w:pPr>
              <w:pStyle w:val="Normal"/>
              <w:rPr/>
            </w:pPr>
            <w:r>
              <w:rPr/>
            </w:r>
          </w:p>
        </w:tc>
      </w:tr>
    </w:tbl>
    <w:p>
      <w:pPr>
        <w:pStyle w:val="Normal"/>
        <w:snapToGrid w:val="false"/>
        <w:spacing w:lineRule="auto" w:line="360"/>
        <w:rPr/>
      </w:pPr>
      <w:r>
        <w:rPr/>
      </w:r>
    </w:p>
    <w:tbl>
      <w:tblPr>
        <w:tblStyle w:val="7"/>
        <w:tblW w:w="9555" w:type="dxa"/>
        <w:jc w:val="left"/>
        <w:tblInd w:w="0" w:type="dxa"/>
        <w:tblCellMar>
          <w:top w:w="0" w:type="dxa"/>
          <w:left w:w="108" w:type="dxa"/>
          <w:bottom w:w="0" w:type="dxa"/>
          <w:right w:w="108" w:type="dxa"/>
        </w:tblCellMar>
      </w:tblPr>
      <w:tblGrid>
        <w:gridCol w:w="3763"/>
        <w:gridCol w:w="5791"/>
      </w:tblGrid>
      <w:tr>
        <w:trPr>
          <w:trHeight w:val="566" w:hRule="atLeast"/>
        </w:trPr>
        <w:tc>
          <w:tcPr>
            <w:tcW w:w="9554" w:type="dxa"/>
            <w:gridSpan w:val="2"/>
            <w:tcBorders>
              <w:top w:val="nil"/>
              <w:left w:val="nil"/>
              <w:bottom w:val="nil"/>
              <w:right w:val="nil"/>
              <w:insideH w:val="nil"/>
              <w:insideV w:val="nil"/>
            </w:tcBorders>
            <w:shd w:color="auto" w:fill="00B0F0" w:val="clear"/>
            <w:vAlign w:val="center"/>
          </w:tcPr>
          <w:p>
            <w:pPr>
              <w:pStyle w:val="Normal"/>
              <w:snapToGrid w:val="false"/>
              <w:rPr>
                <w:rFonts w:ascii="Helvetica" w:hAnsi="Helvetica" w:cs="Helvetica"/>
                <w:color w:val="3E3E3E"/>
                <w:sz w:val="16"/>
                <w:highlight w:val="white"/>
              </w:rPr>
            </w:pPr>
            <w:r>
              <w:rPr>
                <w:rFonts w:cs="Helvetica" w:ascii="Helvetica" w:hAnsi="Helvetica"/>
                <w:b/>
                <w:color w:val="FFFFFF" w:themeColor="background1"/>
                <w:sz w:val="28"/>
                <w14:textFill>
                  <w14:solidFill>
                    <w14:schemeClr w14:val="bg1"/>
                  </w14:solidFill>
                </w14:textFill>
              </w:rPr>
              <w:t>05</w:t>
            </w:r>
            <w:r>
              <w:rPr>
                <w:rFonts w:ascii="Helvetica" w:hAnsi="Helvetica" w:cs="Helvetica"/>
                <w:b/>
                <w:color w:val="FFFFFF" w:themeColor="background1"/>
                <w:sz w:val="28"/>
                <w14:textFill>
                  <w14:solidFill>
                    <w14:schemeClr w14:val="bg1"/>
                  </w14:solidFill>
                </w14:textFill>
              </w:rPr>
              <w:t xml:space="preserve">组织变革  </w:t>
            </w:r>
            <w:r>
              <w:rPr>
                <w:rFonts w:ascii="Helvetica" w:hAnsi="Helvetica" w:cs="Helvetica"/>
                <w:b/>
                <w:color w:val="3E3E3E"/>
                <w:sz w:val="28"/>
              </w:rPr>
              <w:t xml:space="preserve">           </w:t>
            </w:r>
          </w:p>
        </w:tc>
      </w:tr>
      <w:tr>
        <w:trPr>
          <w:trHeight w:val="374" w:hRule="atLeast"/>
        </w:trPr>
        <w:tc>
          <w:tcPr>
            <w:tcW w:w="3763" w:type="dxa"/>
            <w:tcBorders>
              <w:top w:val="nil"/>
              <w:left w:val="nil"/>
              <w:bottom w:val="nil"/>
              <w:right w:val="nil"/>
              <w:insideH w:val="nil"/>
              <w:insideV w:val="nil"/>
            </w:tcBorders>
            <w:shd w:fill="auto" w:val="clear"/>
          </w:tcPr>
          <w:p>
            <w:pPr>
              <w:pStyle w:val="Normal"/>
              <w:snapToGrid w:val="false"/>
              <w:spacing w:lineRule="auto" w:line="360"/>
              <w:jc w:val="left"/>
              <w:rPr>
                <w:b/>
                <w:b/>
              </w:rPr>
            </w:pPr>
            <w:r>
              <w:rPr>
                <w:b/>
              </w:rPr>
              <w:t>核心内容</w:t>
            </w:r>
          </w:p>
          <w:p>
            <w:pPr>
              <w:pStyle w:val="ListParagraph"/>
              <w:numPr>
                <w:ilvl w:val="0"/>
                <w:numId w:val="4"/>
              </w:numPr>
              <w:snapToGrid w:val="false"/>
              <w:spacing w:lineRule="auto" w:line="360"/>
              <w:jc w:val="left"/>
              <w:rPr>
                <w:rFonts w:ascii="Helvetica" w:hAnsi="Helvetica" w:cs="Helvetica"/>
              </w:rPr>
            </w:pPr>
            <w:r>
              <w:rPr>
                <w:w w:val="90"/>
                <w:szCs w:val="21"/>
              </w:rPr>
              <w:t>组织变革与管理创新</w:t>
            </w:r>
          </w:p>
        </w:tc>
        <w:tc>
          <w:tcPr>
            <w:tcW w:w="57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74" w:hRule="atLeast"/>
        </w:trPr>
        <w:tc>
          <w:tcPr>
            <w:tcW w:w="3763"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公司治理创新</w:t>
            </w:r>
          </w:p>
        </w:tc>
        <w:tc>
          <w:tcPr>
            <w:tcW w:w="57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74" w:hRule="atLeast"/>
        </w:trPr>
        <w:tc>
          <w:tcPr>
            <w:tcW w:w="3763"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人力资本股权激励与合伙人机制创新</w:t>
            </w:r>
          </w:p>
        </w:tc>
        <w:tc>
          <w:tcPr>
            <w:tcW w:w="57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74" w:hRule="atLeast"/>
        </w:trPr>
        <w:tc>
          <w:tcPr>
            <w:tcW w:w="9554" w:type="dxa"/>
            <w:gridSpan w:val="2"/>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突破人才经营的瓶颈——三支柱背后的</w:t>
            </w:r>
            <w:r>
              <w:rPr>
                <w:w w:val="90"/>
                <w:szCs w:val="21"/>
              </w:rPr>
              <w:t>HR</w:t>
            </w:r>
            <w:r>
              <w:rPr>
                <w:w w:val="90"/>
                <w:szCs w:val="21"/>
              </w:rPr>
              <w:t>转型挑战</w:t>
            </w:r>
            <w:r>
              <w:rPr>
                <w:rFonts w:ascii="Helvetica" w:hAnsi="Helvetica" w:cs="Helvetica"/>
                <w:color w:val="3E3E3E"/>
                <w:w w:val="90"/>
                <w:szCs w:val="21"/>
                <w:shd w:fill="FFFFFF" w:val="clear"/>
              </w:rPr>
              <w:t xml:space="preserve">                                       </w:t>
            </w:r>
          </w:p>
        </w:tc>
      </w:tr>
      <w:tr>
        <w:trPr>
          <w:trHeight w:val="374" w:hRule="atLeast"/>
        </w:trPr>
        <w:tc>
          <w:tcPr>
            <w:tcW w:w="3763"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 xml:space="preserve">变革时期的人才培养与组织学习战略  </w:t>
            </w:r>
          </w:p>
        </w:tc>
        <w:tc>
          <w:tcPr>
            <w:tcW w:w="57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74" w:hRule="atLeast"/>
        </w:trPr>
        <w:tc>
          <w:tcPr>
            <w:tcW w:w="3763"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打造敏捷组织</w:t>
            </w:r>
          </w:p>
        </w:tc>
        <w:tc>
          <w:tcPr>
            <w:tcW w:w="57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96" w:hRule="atLeast"/>
        </w:trPr>
        <w:tc>
          <w:tcPr>
            <w:tcW w:w="3763"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人力资源数字化转型</w:t>
            </w:r>
          </w:p>
          <w:p>
            <w:pPr>
              <w:pStyle w:val="ListParagraph"/>
              <w:numPr>
                <w:ilvl w:val="0"/>
                <w:numId w:val="4"/>
              </w:numPr>
              <w:snapToGrid w:val="false"/>
              <w:spacing w:lineRule="auto" w:line="360"/>
              <w:jc w:val="left"/>
              <w:rPr>
                <w:w w:val="90"/>
                <w:szCs w:val="21"/>
              </w:rPr>
            </w:pPr>
            <w:r>
              <w:rPr>
                <w:w w:val="90"/>
                <w:szCs w:val="21"/>
              </w:rPr>
              <w:t>企业大学建立与管理</w:t>
            </w:r>
          </w:p>
        </w:tc>
        <w:tc>
          <w:tcPr>
            <w:tcW w:w="5791"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bl>
    <w:p>
      <w:pPr>
        <w:pStyle w:val="Normal"/>
        <w:snapToGrid w:val="false"/>
        <w:rPr>
          <w:rFonts w:ascii="Helvetica" w:hAnsi="Helvetica" w:cs="Helvetica"/>
          <w:b/>
          <w:b/>
          <w:color w:val="FFFFFF" w:themeColor="background1"/>
          <w:sz w:val="28"/>
          <w14:textFill>
            <w14:solidFill>
              <w14:schemeClr w14:val="bg1"/>
            </w14:solidFill>
          </w14:textFill>
        </w:rPr>
      </w:pPr>
      <w:r>
        <w:rPr>
          <w:rFonts w:cs="Helvetica" w:ascii="Helvetica" w:hAnsi="Helvetica"/>
          <w:b/>
          <w:color w:val="FFFFFF" w:themeColor="background1"/>
          <w:sz w:val="28"/>
          <w14:textFill>
            <w14:solidFill>
              <w14:schemeClr w14:val="bg1"/>
            </w14:solidFill>
          </w14:textFill>
        </w:rPr>
      </w:r>
    </w:p>
    <w:tbl>
      <w:tblPr>
        <w:tblStyle w:val="7"/>
        <w:tblW w:w="9449" w:type="dxa"/>
        <w:jc w:val="left"/>
        <w:tblInd w:w="0" w:type="dxa"/>
        <w:tblCellMar>
          <w:top w:w="0" w:type="dxa"/>
          <w:left w:w="108" w:type="dxa"/>
          <w:bottom w:w="0" w:type="dxa"/>
          <w:right w:w="108" w:type="dxa"/>
        </w:tblCellMar>
      </w:tblPr>
      <w:tblGrid>
        <w:gridCol w:w="3799"/>
        <w:gridCol w:w="5649"/>
      </w:tblGrid>
      <w:tr>
        <w:trPr>
          <w:trHeight w:val="525" w:hRule="atLeast"/>
        </w:trPr>
        <w:tc>
          <w:tcPr>
            <w:tcW w:w="9448" w:type="dxa"/>
            <w:gridSpan w:val="2"/>
            <w:tcBorders>
              <w:top w:val="nil"/>
              <w:left w:val="nil"/>
              <w:bottom w:val="nil"/>
              <w:right w:val="nil"/>
              <w:insideH w:val="nil"/>
              <w:insideV w:val="nil"/>
            </w:tcBorders>
            <w:shd w:color="auto" w:fill="00B0F0" w:val="clear"/>
            <w:vAlign w:val="center"/>
          </w:tcPr>
          <w:p>
            <w:pPr>
              <w:pStyle w:val="Normal"/>
              <w:snapToGrid w:val="false"/>
              <w:rPr>
                <w:rFonts w:ascii="Helvetica" w:hAnsi="Helvetica" w:cs="Helvetica"/>
                <w:b/>
                <w:b/>
                <w:color w:val="FFFFFF" w:themeColor="background1"/>
                <w:sz w:val="28"/>
                <w14:textFill>
                  <w14:solidFill>
                    <w14:schemeClr w14:val="bg1"/>
                  </w14:solidFill>
                </w14:textFill>
              </w:rPr>
            </w:pPr>
            <w:r>
              <w:rPr>
                <w:rFonts w:cs="Helvetica" w:ascii="Helvetica" w:hAnsi="Helvetica"/>
                <w:b/>
                <w:color w:val="FFFFFF" w:themeColor="background1"/>
                <w:sz w:val="28"/>
                <w14:textFill>
                  <w14:solidFill>
                    <w14:schemeClr w14:val="bg1"/>
                  </w14:solidFill>
                </w14:textFill>
              </w:rPr>
              <w:t>06</w:t>
            </w:r>
            <w:r>
              <w:rPr>
                <w:rFonts w:ascii="Helvetica" w:hAnsi="Helvetica" w:cs="Helvetica"/>
                <w:b/>
                <w:color w:val="FFFFFF" w:themeColor="background1"/>
                <w:sz w:val="28"/>
                <w14:textFill>
                  <w14:solidFill>
                    <w14:schemeClr w14:val="bg1"/>
                  </w14:solidFill>
                </w14:textFill>
              </w:rPr>
              <w:t xml:space="preserve">价值管理             </w:t>
            </w:r>
          </w:p>
        </w:tc>
      </w:tr>
      <w:tr>
        <w:trPr>
          <w:trHeight w:val="343" w:hRule="atLeast"/>
        </w:trPr>
        <w:tc>
          <w:tcPr>
            <w:tcW w:w="379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highlight w:val="white"/>
              </w:rPr>
            </w:pPr>
            <w:r>
              <w:rPr>
                <w:b/>
              </w:rPr>
              <w:t>核心内容</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43"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全面薪酬管理与激励机制创新</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181"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平衡计分卡与业绩评价</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43"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战略绩效管理</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43"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如何利用</w:t>
            </w:r>
            <w:r>
              <w:rPr>
                <w:w w:val="90"/>
                <w:szCs w:val="21"/>
              </w:rPr>
              <w:t>OKR</w:t>
            </w:r>
            <w:r>
              <w:rPr>
                <w:w w:val="90"/>
                <w:szCs w:val="21"/>
              </w:rPr>
              <w:t>创造高绩效</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43"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价值创造，价值评价与价值分配</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43"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90"/>
                <w:szCs w:val="21"/>
              </w:rPr>
            </w:pPr>
            <w:r>
              <w:rPr>
                <w:w w:val="90"/>
                <w:szCs w:val="21"/>
              </w:rPr>
              <w:t>企业如何打造高效人才供应链</w:t>
            </w:r>
          </w:p>
          <w:p>
            <w:pPr>
              <w:pStyle w:val="ListParagraph"/>
              <w:numPr>
                <w:ilvl w:val="0"/>
                <w:numId w:val="4"/>
              </w:numPr>
              <w:snapToGrid w:val="false"/>
              <w:spacing w:lineRule="auto" w:line="360"/>
              <w:jc w:val="left"/>
              <w:rPr>
                <w:w w:val="90"/>
                <w:szCs w:val="21"/>
              </w:rPr>
            </w:pPr>
            <w:r>
              <w:rPr>
                <w:w w:val="90"/>
                <w:szCs w:val="21"/>
              </w:rPr>
              <w:t>关键人才管理</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343"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85"/>
                <w:szCs w:val="21"/>
              </w:rPr>
            </w:pPr>
            <w:r>
              <w:rPr>
                <w:w w:val="88"/>
                <w:szCs w:val="21"/>
              </w:rPr>
              <w:t>并购重组、产业整合中的人力资源管理</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r>
        <w:trPr>
          <w:trHeight w:val="460" w:hRule="atLeast"/>
        </w:trPr>
        <w:tc>
          <w:tcPr>
            <w:tcW w:w="3799" w:type="dxa"/>
            <w:tcBorders>
              <w:top w:val="nil"/>
              <w:left w:val="nil"/>
              <w:bottom w:val="nil"/>
              <w:right w:val="nil"/>
              <w:insideH w:val="nil"/>
              <w:insideV w:val="nil"/>
            </w:tcBorders>
            <w:shd w:fill="auto" w:val="clear"/>
          </w:tcPr>
          <w:p>
            <w:pPr>
              <w:pStyle w:val="ListParagraph"/>
              <w:numPr>
                <w:ilvl w:val="0"/>
                <w:numId w:val="4"/>
              </w:numPr>
              <w:snapToGrid w:val="false"/>
              <w:spacing w:lineRule="auto" w:line="360"/>
              <w:jc w:val="left"/>
              <w:rPr>
                <w:w w:val="88"/>
                <w:szCs w:val="21"/>
              </w:rPr>
            </w:pPr>
            <w:r>
              <w:rPr>
                <w:w w:val="88"/>
                <w:szCs w:val="21"/>
              </w:rPr>
              <w:t>大数据时代人力资源数据化分析与应用</w:t>
            </w:r>
          </w:p>
        </w:tc>
        <w:tc>
          <w:tcPr>
            <w:tcW w:w="5649"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w w:val="90"/>
                <w:szCs w:val="21"/>
                <w:highlight w:val="white"/>
              </w:rPr>
            </w:pPr>
            <w:r>
              <w:rPr>
                <w:rFonts w:cs="Helvetica" w:ascii="Helvetica" w:hAnsi="Helvetica"/>
                <w:color w:val="3E3E3E"/>
                <w:w w:val="90"/>
                <w:szCs w:val="21"/>
                <w:shd w:fill="FFFFFF" w:val="clear"/>
              </w:rPr>
            </w:r>
          </w:p>
        </w:tc>
      </w:tr>
    </w:tbl>
    <w:p>
      <w:pPr>
        <w:pStyle w:val="Normal"/>
        <w:widowControl/>
        <w:snapToGrid w:val="false"/>
        <w:spacing w:lineRule="auto" w:line="360"/>
        <w:jc w:val="left"/>
        <w:rPr>
          <w:rFonts w:ascii="宋体" w:hAnsi="宋体" w:cs="Arial"/>
          <w:sz w:val="8"/>
          <w:szCs w:val="13"/>
        </w:rPr>
      </w:pPr>
      <w:r>
        <w:rPr>
          <w:rFonts w:cs="Arial" w:ascii="宋体" w:hAnsi="宋体"/>
          <w:sz w:val="8"/>
          <w:szCs w:val="13"/>
        </w:rPr>
      </w:r>
    </w:p>
    <w:p>
      <w:pPr>
        <w:sectPr>
          <w:type w:val="continuous"/>
          <w:pgSz w:w="11906" w:h="16838"/>
          <w:pgMar w:left="1418" w:right="1797" w:header="851" w:top="1440" w:footer="0" w:bottom="1440" w:gutter="0"/>
          <w:formProt w:val="false"/>
          <w:textDirection w:val="lrTb"/>
          <w:docGrid w:type="default" w:linePitch="600" w:charSpace="38911"/>
        </w:sectPr>
      </w:pPr>
    </w:p>
    <w:tbl>
      <w:tblPr>
        <w:tblStyle w:val="7"/>
        <w:tblW w:w="9215" w:type="dxa"/>
        <w:jc w:val="left"/>
        <w:tblInd w:w="0" w:type="dxa"/>
        <w:tblCellMar>
          <w:top w:w="0" w:type="dxa"/>
          <w:left w:w="108" w:type="dxa"/>
          <w:bottom w:w="0" w:type="dxa"/>
          <w:right w:w="108" w:type="dxa"/>
        </w:tblCellMar>
      </w:tblPr>
      <w:tblGrid>
        <w:gridCol w:w="3827"/>
        <w:gridCol w:w="5387"/>
      </w:tblGrid>
      <w:tr>
        <w:trPr>
          <w:trHeight w:val="519" w:hRule="atLeast"/>
        </w:trPr>
        <w:tc>
          <w:tcPr>
            <w:tcW w:w="9214" w:type="dxa"/>
            <w:gridSpan w:val="2"/>
            <w:tcBorders>
              <w:top w:val="nil"/>
              <w:left w:val="nil"/>
              <w:bottom w:val="nil"/>
              <w:right w:val="nil"/>
              <w:insideH w:val="nil"/>
              <w:insideV w:val="nil"/>
            </w:tcBorders>
            <w:shd w:color="auto" w:fill="00B0F0" w:val="clear"/>
            <w:vAlign w:val="center"/>
          </w:tcPr>
          <w:p>
            <w:pPr>
              <w:pStyle w:val="Normal"/>
              <w:snapToGrid w:val="false"/>
              <w:rPr>
                <w:w w:val="90"/>
                <w:szCs w:val="21"/>
              </w:rPr>
            </w:pPr>
            <w:r>
              <w:rPr>
                <w:rFonts w:cs="Helvetica" w:ascii="Helvetica" w:hAnsi="Helvetica"/>
                <w:b/>
                <w:color w:val="FFFFFF" w:themeColor="background1"/>
                <w:sz w:val="28"/>
                <w14:textFill>
                  <w14:solidFill>
                    <w14:schemeClr w14:val="bg1"/>
                  </w14:solidFill>
                </w14:textFill>
              </w:rPr>
              <w:t>07</w:t>
            </w:r>
            <w:r>
              <w:rPr>
                <w:rFonts w:ascii="Helvetica" w:hAnsi="Helvetica" w:cs="Helvetica"/>
                <w:b/>
                <w:color w:val="FFFFFF" w:themeColor="background1"/>
                <w:sz w:val="28"/>
                <w14:textFill>
                  <w14:solidFill>
                    <w14:schemeClr w14:val="bg1"/>
                  </w14:solidFill>
                </w14:textFill>
              </w:rPr>
              <w:t>知行合一和行动学习</w:t>
            </w:r>
            <w:r>
              <w:rPr>
                <w:rFonts w:ascii="Helvetica" w:hAnsi="Helvetica" w:cs="Helvetica"/>
                <w:b/>
                <w:color w:val="3E3E3E"/>
                <w:sz w:val="28"/>
              </w:rPr>
              <w:t xml:space="preserve">            </w:t>
            </w:r>
          </w:p>
        </w:tc>
      </w:tr>
      <w:tr>
        <w:trPr/>
        <w:tc>
          <w:tcPr>
            <w:tcW w:w="3827"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highlight w:val="white"/>
              </w:rPr>
            </w:pPr>
            <w:r>
              <w:rPr>
                <w:b/>
              </w:rPr>
              <w:t>核心内容和方法</w:t>
            </w:r>
          </w:p>
        </w:tc>
        <w:tc>
          <w:tcPr>
            <w:tcW w:w="5387" w:type="dxa"/>
            <w:tcBorders>
              <w:top w:val="nil"/>
              <w:left w:val="nil"/>
              <w:bottom w:val="nil"/>
              <w:right w:val="nil"/>
              <w:insideH w:val="nil"/>
              <w:insideV w:val="nil"/>
            </w:tcBorders>
            <w:shd w:fill="auto" w:val="clear"/>
          </w:tcPr>
          <w:p>
            <w:pPr>
              <w:pStyle w:val="Normal"/>
              <w:snapToGrid w:val="false"/>
              <w:spacing w:lineRule="auto" w:line="360"/>
              <w:jc w:val="left"/>
              <w:rPr>
                <w:rFonts w:ascii="Helvetica" w:hAnsi="Helvetica" w:cs="Helvetica"/>
                <w:color w:val="3E3E3E"/>
                <w:sz w:val="16"/>
                <w:highlight w:val="white"/>
              </w:rPr>
            </w:pPr>
            <w:r>
              <w:rPr>
                <w:rFonts w:cs="Helvetica" w:ascii="Helvetica" w:hAnsi="Helvetica"/>
                <w:color w:val="3E3E3E"/>
                <w:sz w:val="16"/>
                <w:shd w:fill="FFFFFF" w:val="clear"/>
              </w:rPr>
            </w:r>
          </w:p>
        </w:tc>
      </w:tr>
      <w:tr>
        <w:trPr/>
        <w:tc>
          <w:tcPr>
            <w:tcW w:w="3827" w:type="dxa"/>
            <w:tcBorders>
              <w:top w:val="nil"/>
              <w:left w:val="nil"/>
              <w:bottom w:val="nil"/>
              <w:right w:val="nil"/>
              <w:insideH w:val="nil"/>
              <w:insideV w:val="nil"/>
            </w:tcBorders>
            <w:shd w:fill="auto" w:val="clear"/>
          </w:tcPr>
          <w:p>
            <w:pPr>
              <w:pStyle w:val="ListParagraph"/>
              <w:numPr>
                <w:ilvl w:val="0"/>
                <w:numId w:val="5"/>
              </w:numPr>
              <w:snapToGrid w:val="false"/>
              <w:spacing w:lineRule="auto" w:line="360"/>
              <w:jc w:val="left"/>
              <w:rPr>
                <w:b/>
                <w:b/>
                <w:w w:val="90"/>
                <w:szCs w:val="21"/>
              </w:rPr>
            </w:pPr>
            <w:r>
              <w:rPr>
                <w:b/>
                <w:w w:val="90"/>
                <w:szCs w:val="21"/>
              </w:rPr>
              <w:t>人大</w:t>
            </w:r>
            <w:r>
              <w:rPr>
                <w:b/>
                <w:w w:val="90"/>
                <w:szCs w:val="21"/>
              </w:rPr>
              <w:t>CIDA(</w:t>
            </w:r>
            <w:r>
              <w:rPr>
                <w:b/>
                <w:w w:val="90"/>
                <w:szCs w:val="21"/>
              </w:rPr>
              <w:t>思达</w:t>
            </w:r>
            <w:r>
              <w:rPr>
                <w:b/>
                <w:w w:val="90"/>
                <w:szCs w:val="21"/>
              </w:rPr>
              <w:t>)</w:t>
            </w:r>
            <w:r>
              <w:rPr>
                <w:b/>
                <w:w w:val="90"/>
                <w:szCs w:val="21"/>
              </w:rPr>
              <w:t>行动学习</w:t>
            </w:r>
          </w:p>
          <w:p>
            <w:pPr>
              <w:pStyle w:val="Normal"/>
              <w:snapToGrid w:val="false"/>
              <w:spacing w:lineRule="exact" w:line="400"/>
              <w:jc w:val="left"/>
              <w:rPr>
                <w:rFonts w:ascii="宋体" w:hAnsi="宋体"/>
                <w:w w:val="90"/>
                <w:szCs w:val="21"/>
              </w:rPr>
            </w:pPr>
            <w:r>
              <w:rPr>
                <w:w w:val="90"/>
                <w:szCs w:val="21"/>
              </w:rPr>
              <w:t>在整体课程体系中，嵌入</w:t>
            </w:r>
            <w:r>
              <w:rPr>
                <w:w w:val="90"/>
                <w:szCs w:val="21"/>
              </w:rPr>
              <w:t>CIDA</w:t>
            </w:r>
            <w:r>
              <w:rPr>
                <w:w w:val="90"/>
                <w:szCs w:val="21"/>
              </w:rPr>
              <w:t>行动学习方法论。 基于学员实际决策场景或对标案例，</w:t>
            </w:r>
            <w:r>
              <w:rPr>
                <w:rFonts w:ascii="宋体" w:hAnsi="宋体"/>
                <w:w w:val="90"/>
                <w:szCs w:val="21"/>
              </w:rPr>
              <w:t>展开问题萃取</w:t>
            </w:r>
            <w:r>
              <w:rPr>
                <w:rFonts w:ascii="宋体" w:hAnsi="宋体"/>
                <w:w w:val="90"/>
                <w:szCs w:val="21"/>
              </w:rPr>
              <w:t>-</w:t>
            </w:r>
            <w:r>
              <w:rPr>
                <w:rFonts w:ascii="宋体" w:hAnsi="宋体"/>
                <w:w w:val="90"/>
                <w:szCs w:val="21"/>
              </w:rPr>
              <w:t>问题分析</w:t>
            </w:r>
            <w:r>
              <w:rPr>
                <w:rFonts w:ascii="宋体" w:hAnsi="宋体"/>
                <w:w w:val="90"/>
                <w:szCs w:val="21"/>
              </w:rPr>
              <w:t>-</w:t>
            </w:r>
            <w:r>
              <w:rPr>
                <w:rFonts w:ascii="宋体" w:hAnsi="宋体"/>
                <w:w w:val="90"/>
                <w:szCs w:val="21"/>
              </w:rPr>
              <w:t>问题解决</w:t>
            </w:r>
            <w:r>
              <w:rPr>
                <w:rFonts w:ascii="宋体" w:hAnsi="宋体"/>
                <w:w w:val="90"/>
                <w:szCs w:val="21"/>
              </w:rPr>
              <w:t>-</w:t>
            </w:r>
            <w:r>
              <w:rPr>
                <w:rFonts w:ascii="宋体" w:hAnsi="宋体"/>
                <w:w w:val="90"/>
                <w:szCs w:val="21"/>
              </w:rPr>
              <w:t xml:space="preserve">问题验收的学习过程。 学习方法论涵盖听课、提问、反思、讨论、教练、设计方案等。 </w:t>
            </w:r>
            <w:r>
              <w:rPr>
                <w:w w:val="90"/>
                <w:szCs w:val="21"/>
              </w:rPr>
              <w:t>从认知</w:t>
            </w:r>
            <w:r>
              <w:rPr>
                <w:b/>
                <w:w w:val="70"/>
                <w:szCs w:val="21"/>
              </w:rPr>
              <w:t>（思）</w:t>
            </w:r>
            <w:r>
              <w:rPr>
                <w:w w:val="90"/>
                <w:szCs w:val="21"/>
              </w:rPr>
              <w:t>、质询</w:t>
            </w:r>
            <w:r>
              <w:rPr>
                <w:b/>
                <w:w w:val="70"/>
                <w:szCs w:val="21"/>
              </w:rPr>
              <w:t>（辩）</w:t>
            </w:r>
            <w:r>
              <w:rPr>
                <w:w w:val="90"/>
                <w:szCs w:val="21"/>
              </w:rPr>
              <w:t>、方案设计</w:t>
            </w:r>
            <w:r>
              <w:rPr>
                <w:b/>
                <w:w w:val="70"/>
                <w:szCs w:val="21"/>
              </w:rPr>
              <w:t>（知）</w:t>
            </w:r>
            <w:r>
              <w:rPr>
                <w:w w:val="90"/>
                <w:szCs w:val="21"/>
              </w:rPr>
              <w:t>和行动落地</w:t>
            </w:r>
            <w:r>
              <w:rPr>
                <w:b/>
                <w:w w:val="70"/>
                <w:szCs w:val="21"/>
              </w:rPr>
              <w:t>（行）几个</w:t>
            </w:r>
            <w:r>
              <w:rPr>
                <w:w w:val="90"/>
                <w:szCs w:val="21"/>
              </w:rPr>
              <w:t>层面，</w:t>
            </w:r>
            <w:r>
              <w:rPr>
                <w:rFonts w:ascii="宋体" w:hAnsi="宋体"/>
                <w:w w:val="90"/>
                <w:szCs w:val="21"/>
              </w:rPr>
              <w:t>帮助学员做到认知升维和行动降维。</w:t>
            </w:r>
          </w:p>
          <w:p>
            <w:pPr>
              <w:pStyle w:val="Normal"/>
              <w:snapToGrid w:val="false"/>
              <w:spacing w:lineRule="auto" w:line="360"/>
              <w:jc w:val="left"/>
              <w:rPr>
                <w:rFonts w:ascii="宋体" w:hAnsi="宋体"/>
                <w:sz w:val="10"/>
                <w:szCs w:val="10"/>
              </w:rPr>
            </w:pPr>
            <w:r>
              <w:rPr>
                <w:rFonts w:ascii="宋体" w:hAnsi="宋体"/>
                <w:sz w:val="10"/>
                <w:szCs w:val="10"/>
              </w:rPr>
            </w:r>
          </w:p>
        </w:tc>
        <w:tc>
          <w:tcPr>
            <w:tcW w:w="5387" w:type="dxa"/>
            <w:tcBorders>
              <w:top w:val="nil"/>
              <w:left w:val="nil"/>
              <w:bottom w:val="nil"/>
              <w:right w:val="nil"/>
              <w:insideH w:val="nil"/>
              <w:insideV w:val="nil"/>
            </w:tcBorders>
            <w:shd w:fill="auto" w:val="clear"/>
          </w:tcPr>
          <w:p>
            <w:pPr>
              <w:pStyle w:val="Normal"/>
              <w:snapToGrid w:val="false"/>
              <w:spacing w:lineRule="auto" w:line="360"/>
              <w:jc w:val="center"/>
              <w:rPr>
                <w:rFonts w:ascii="Helvetica" w:hAnsi="Helvetica" w:cs="Helvetica"/>
                <w:color w:val="3E3E3E"/>
                <w:sz w:val="16"/>
                <w:highlight w:val="white"/>
              </w:rPr>
            </w:pPr>
            <w:r>
              <w:rPr/>
              <w:drawing>
                <wp:inline distT="0" distB="5715" distL="0" distR="0">
                  <wp:extent cx="3276600" cy="2108835"/>
                  <wp:effectExtent l="0" t="0" r="0" b="0"/>
                  <wp:docPr id="7"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
                          <pic:cNvPicPr>
                            <a:picLocks noChangeAspect="1" noChangeArrowheads="1"/>
                          </pic:cNvPicPr>
                        </pic:nvPicPr>
                        <pic:blipFill>
                          <a:blip r:embed="rId5"/>
                          <a:stretch>
                            <a:fillRect/>
                          </a:stretch>
                        </pic:blipFill>
                        <pic:spPr bwMode="auto">
                          <a:xfrm>
                            <a:off x="0" y="0"/>
                            <a:ext cx="3276600" cy="2108835"/>
                          </a:xfrm>
                          <a:prstGeom prst="rect">
                            <a:avLst/>
                          </a:prstGeom>
                        </pic:spPr>
                      </pic:pic>
                    </a:graphicData>
                  </a:graphic>
                </wp:inline>
              </w:drawing>
            </w:r>
          </w:p>
        </w:tc>
      </w:tr>
      <w:tr>
        <w:trPr>
          <w:trHeight w:val="328" w:hRule="atLeast"/>
        </w:trPr>
        <w:tc>
          <w:tcPr>
            <w:tcW w:w="9214" w:type="dxa"/>
            <w:gridSpan w:val="2"/>
            <w:tcBorders>
              <w:top w:val="nil"/>
              <w:left w:val="nil"/>
              <w:bottom w:val="nil"/>
              <w:right w:val="nil"/>
              <w:insideH w:val="nil"/>
              <w:insideV w:val="nil"/>
            </w:tcBorders>
            <w:shd w:fill="auto" w:val="clear"/>
          </w:tcPr>
          <w:p>
            <w:pPr>
              <w:pStyle w:val="ListParagraph"/>
              <w:numPr>
                <w:ilvl w:val="0"/>
                <w:numId w:val="5"/>
              </w:numPr>
              <w:snapToGrid w:val="false"/>
              <w:spacing w:lineRule="auto" w:line="360"/>
              <w:jc w:val="left"/>
              <w:rPr>
                <w:b/>
                <w:b/>
                <w:w w:val="90"/>
                <w:szCs w:val="21"/>
              </w:rPr>
            </w:pPr>
            <w:r>
              <w:rPr>
                <w:b/>
                <w:w w:val="90"/>
                <w:szCs w:val="21"/>
              </w:rPr>
              <w:t>中国人力资源管理年会（选修模块）</w:t>
            </w:r>
          </w:p>
          <w:p>
            <w:pPr>
              <w:pStyle w:val="Normal"/>
              <w:snapToGrid w:val="false"/>
              <w:spacing w:lineRule="exact" w:line="400"/>
              <w:jc w:val="left"/>
              <w:rPr>
                <w:rFonts w:ascii="宋体" w:hAnsi="宋体" w:eastAsia="宋体" w:cs="Times New Roman"/>
                <w:szCs w:val="21"/>
              </w:rPr>
            </w:pPr>
            <w:r>
              <w:rPr>
                <w:rFonts w:ascii="宋体" w:hAnsi="宋体" w:cs="Times New Roman" w:eastAsia="宋体"/>
                <w:szCs w:val="21"/>
              </w:rPr>
              <w:t>中国人力资源管理年会自</w:t>
            </w:r>
            <w:r>
              <w:rPr>
                <w:rFonts w:eastAsia="宋体" w:cs="Times New Roman" w:ascii="宋体" w:hAnsi="宋体"/>
                <w:szCs w:val="21"/>
              </w:rPr>
              <w:t>2008</w:t>
            </w:r>
            <w:r>
              <w:rPr>
                <w:rFonts w:ascii="宋体" w:hAnsi="宋体" w:cs="Times New Roman" w:eastAsia="宋体"/>
                <w:szCs w:val="21"/>
              </w:rPr>
              <w:t>年起，已经成功举办十余界，汇聚顶级专家和业界领袖，聚焦前沿理念和最佳实践，共同探讨各种商业潮流和管理热点背后的本质和规律，为中国企业的人力资源管理创新树立标杆和行动典范。</w:t>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drawing>
                <wp:anchor behindDoc="0" distT="0" distB="0" distL="114300" distR="116205" simplePos="0" locked="0" layoutInCell="1" allowOverlap="1" relativeHeight="7">
                  <wp:simplePos x="0" y="0"/>
                  <wp:positionH relativeFrom="column">
                    <wp:posOffset>-9525</wp:posOffset>
                  </wp:positionH>
                  <wp:positionV relativeFrom="paragraph">
                    <wp:posOffset>59055</wp:posOffset>
                  </wp:positionV>
                  <wp:extent cx="5637530" cy="1908175"/>
                  <wp:effectExtent l="0" t="0" r="0" b="0"/>
                  <wp:wrapNone/>
                  <wp:docPr id="8"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
                          <pic:cNvPicPr>
                            <a:picLocks noChangeAspect="1" noChangeArrowheads="1"/>
                          </pic:cNvPicPr>
                        </pic:nvPicPr>
                        <pic:blipFill>
                          <a:blip r:embed="rId6"/>
                          <a:stretch>
                            <a:fillRect/>
                          </a:stretch>
                        </pic:blipFill>
                        <pic:spPr bwMode="auto">
                          <a:xfrm>
                            <a:off x="0" y="0"/>
                            <a:ext cx="5637530" cy="1908175"/>
                          </a:xfrm>
                          <a:prstGeom prst="rect">
                            <a:avLst/>
                          </a:prstGeom>
                        </pic:spPr>
                      </pic:pic>
                    </a:graphicData>
                  </a:graphic>
                </wp:anchor>
              </w:drawing>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spacing w:lineRule="exact" w:line="400"/>
              <w:jc w:val="left"/>
              <w:rPr>
                <w:rFonts w:ascii="宋体" w:hAnsi="宋体" w:eastAsia="宋体" w:cs="Times New Roman"/>
                <w:szCs w:val="21"/>
              </w:rPr>
            </w:pPr>
            <w:r>
              <w:rPr>
                <w:rFonts w:eastAsia="宋体" w:cs="Times New Roman" w:ascii="宋体" w:hAnsi="宋体"/>
                <w:szCs w:val="21"/>
              </w:rPr>
            </w:r>
          </w:p>
          <w:p>
            <w:pPr>
              <w:pStyle w:val="Normal"/>
              <w:snapToGrid w:val="false"/>
              <w:jc w:val="left"/>
              <w:rPr>
                <w:w w:val="90"/>
                <w:sz w:val="15"/>
                <w:szCs w:val="15"/>
              </w:rPr>
            </w:pPr>
            <w:r>
              <w:rPr>
                <w:w w:val="90"/>
                <w:sz w:val="15"/>
                <w:szCs w:val="15"/>
              </w:rPr>
            </w:r>
          </w:p>
          <w:p>
            <w:pPr>
              <w:pStyle w:val="Normal"/>
              <w:snapToGrid w:val="false"/>
              <w:jc w:val="left"/>
              <w:rPr>
                <w:w w:val="90"/>
                <w:sz w:val="15"/>
                <w:szCs w:val="15"/>
              </w:rPr>
            </w:pPr>
            <w:r>
              <w:rPr>
                <w:w w:val="90"/>
                <w:sz w:val="15"/>
                <w:szCs w:val="15"/>
              </w:rPr>
            </w:r>
          </w:p>
          <w:p>
            <w:pPr>
              <w:pStyle w:val="ListParagraph"/>
              <w:numPr>
                <w:ilvl w:val="0"/>
                <w:numId w:val="5"/>
              </w:numPr>
              <w:snapToGrid w:val="false"/>
              <w:spacing w:lineRule="auto" w:line="360"/>
              <w:jc w:val="left"/>
              <w:rPr>
                <w:w w:val="90"/>
                <w:szCs w:val="21"/>
              </w:rPr>
            </w:pPr>
            <w:r>
              <w:rPr>
                <w:b/>
                <w:w w:val="90"/>
                <w:szCs w:val="21"/>
              </w:rPr>
              <w:t>标杆企业参访学习：华为</w:t>
            </w:r>
            <w:r>
              <w:rPr>
                <w:b/>
                <w:w w:val="90"/>
                <w:szCs w:val="21"/>
              </w:rPr>
              <w:t>/</w:t>
            </w:r>
            <w:r>
              <w:rPr>
                <w:b/>
                <w:w w:val="90"/>
                <w:szCs w:val="21"/>
              </w:rPr>
              <w:t>腾讯</w:t>
            </w:r>
            <w:r>
              <w:rPr>
                <w:b/>
                <w:w w:val="90"/>
                <w:szCs w:val="21"/>
              </w:rPr>
              <w:t>/</w:t>
            </w:r>
            <w:r>
              <w:rPr>
                <w:b/>
                <w:w w:val="90"/>
                <w:szCs w:val="21"/>
              </w:rPr>
              <w:t>海尔</w:t>
            </w:r>
            <w:r>
              <w:rPr>
                <w:b/>
                <w:w w:val="90"/>
                <w:szCs w:val="21"/>
              </w:rPr>
              <w:t>/</w:t>
            </w:r>
            <w:r>
              <w:rPr>
                <w:b/>
                <w:w w:val="90"/>
                <w:szCs w:val="21"/>
              </w:rPr>
              <w:t>京东</w:t>
            </w:r>
            <w:r>
              <w:rPr>
                <w:b/>
                <w:w w:val="90"/>
                <w:szCs w:val="21"/>
              </w:rPr>
              <w:t>/</w:t>
            </w:r>
            <w:r>
              <w:rPr>
                <w:b/>
                <w:w w:val="90"/>
                <w:szCs w:val="21"/>
              </w:rPr>
              <w:t>阿里等（选修模块）</w:t>
            </w:r>
          </w:p>
          <w:p>
            <w:pPr>
              <w:pStyle w:val="Normal"/>
              <w:snapToGrid w:val="false"/>
              <w:spacing w:lineRule="auto" w:line="360"/>
              <w:jc w:val="left"/>
              <w:rPr>
                <w:w w:val="90"/>
                <w:szCs w:val="21"/>
              </w:rPr>
            </w:pPr>
            <w:r>
              <w:rPr>
                <w:rFonts w:ascii="宋体" w:hAnsi="宋体" w:cs="Times New Roman" w:eastAsia="宋体"/>
                <w:szCs w:val="21"/>
              </w:rPr>
              <w:t>带领学员参观考察优秀企业，让每位学员除了课堂学习，还能参观其他优秀企业的现场管理，与企业的管理人员交流心得，将他人的实践和自身的经验相结合探讨企业管理的精髓。</w:t>
            </w:r>
          </w:p>
        </w:tc>
      </w:tr>
    </w:tbl>
    <w:p>
      <w:pPr>
        <w:sectPr>
          <w:type w:val="continuous"/>
          <w:pgSz w:w="11906" w:h="16838"/>
          <w:pgMar w:left="1418" w:right="1797" w:header="851" w:top="1440" w:footer="0" w:bottom="1440" w:gutter="0"/>
          <w:pgNumType w:fmt="decimal"/>
          <w:formProt w:val="false"/>
          <w:textDirection w:val="lrTb"/>
          <w:docGrid w:type="default" w:linePitch="600" w:charSpace="38911"/>
        </w:sectPr>
      </w:pPr>
    </w:p>
    <w:p>
      <w:pPr>
        <w:pStyle w:val="Normal"/>
        <w:snapToGrid w:val="false"/>
        <w:spacing w:lineRule="auto" w:line="360"/>
        <w:ind w:firstLine="411"/>
        <w:rPr>
          <w:rFonts w:ascii="宋体" w:hAnsi="宋体"/>
          <w:szCs w:val="21"/>
        </w:rPr>
      </w:pPr>
      <w:r>
        <w:rPr/>
        <w:drawing>
          <wp:inline distT="0" distB="4445" distL="0" distR="0">
            <wp:extent cx="2369820" cy="1329055"/>
            <wp:effectExtent l="0" t="0" r="0"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pic:cNvPicPr>
                      <a:picLocks noChangeAspect="1" noChangeArrowheads="1"/>
                    </pic:cNvPicPr>
                  </pic:nvPicPr>
                  <pic:blipFill>
                    <a:blip r:embed="rId7"/>
                    <a:stretch>
                      <a:fillRect/>
                    </a:stretch>
                  </pic:blipFill>
                  <pic:spPr bwMode="auto">
                    <a:xfrm>
                      <a:off x="0" y="0"/>
                      <a:ext cx="2369820" cy="1329055"/>
                    </a:xfrm>
                    <a:prstGeom prst="rect">
                      <a:avLst/>
                    </a:prstGeom>
                  </pic:spPr>
                </pic:pic>
              </a:graphicData>
            </a:graphic>
          </wp:inline>
        </w:drawing>
      </w:r>
    </w:p>
    <w:p>
      <w:pPr>
        <w:pStyle w:val="Normal"/>
        <w:snapToGrid w:val="false"/>
        <w:spacing w:lineRule="auto" w:line="360"/>
        <w:ind w:firstLine="411"/>
        <w:rPr>
          <w:rFonts w:ascii="宋体" w:hAnsi="宋体"/>
          <w:szCs w:val="21"/>
        </w:rPr>
      </w:pPr>
      <w:r>
        <w:rPr/>
        <w:drawing>
          <wp:inline distT="0" distB="0" distL="0" distR="3810">
            <wp:extent cx="2377440" cy="785495"/>
            <wp:effectExtent l="0" t="0" r="0" b="0"/>
            <wp:docPr id="10"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
                    <pic:cNvPicPr>
                      <a:picLocks noChangeAspect="1" noChangeArrowheads="1"/>
                    </pic:cNvPicPr>
                  </pic:nvPicPr>
                  <pic:blipFill>
                    <a:blip r:embed="rId8"/>
                    <a:stretch>
                      <a:fillRect/>
                    </a:stretch>
                  </pic:blipFill>
                  <pic:spPr bwMode="auto">
                    <a:xfrm>
                      <a:off x="0" y="0"/>
                      <a:ext cx="2377440" cy="785495"/>
                    </a:xfrm>
                    <a:prstGeom prst="rect">
                      <a:avLst/>
                    </a:prstGeom>
                  </pic:spPr>
                </pic:pic>
              </a:graphicData>
            </a:graphic>
          </wp:inline>
        </w:drawing>
      </w:r>
    </w:p>
    <w:p>
      <w:pPr>
        <w:pStyle w:val="Normal"/>
        <w:snapToGrid w:val="false"/>
        <w:spacing w:lineRule="auto" w:line="360"/>
        <w:ind w:firstLine="411"/>
        <w:rPr>
          <w:rFonts w:ascii="宋体" w:hAnsi="宋体"/>
          <w:szCs w:val="21"/>
        </w:rPr>
      </w:pPr>
      <w:r>
        <w:rPr/>
        <w:drawing>
          <wp:inline distT="0" distB="0" distL="0" distR="5080">
            <wp:extent cx="2395220" cy="1684020"/>
            <wp:effectExtent l="0" t="0" r="0" b="0"/>
            <wp:docPr id="11"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
                    <pic:cNvPicPr>
                      <a:picLocks noChangeAspect="1" noChangeArrowheads="1"/>
                    </pic:cNvPicPr>
                  </pic:nvPicPr>
                  <pic:blipFill>
                    <a:blip r:embed="rId9"/>
                    <a:stretch>
                      <a:fillRect/>
                    </a:stretch>
                  </pic:blipFill>
                  <pic:spPr bwMode="auto">
                    <a:xfrm>
                      <a:off x="0" y="0"/>
                      <a:ext cx="2395220" cy="1684020"/>
                    </a:xfrm>
                    <a:prstGeom prst="rect">
                      <a:avLst/>
                    </a:prstGeom>
                  </pic:spPr>
                </pic:pic>
              </a:graphicData>
            </a:graphic>
          </wp:inline>
        </w:drawing>
      </w:r>
    </w:p>
    <w:p>
      <w:pPr>
        <w:pStyle w:val="Normal"/>
        <w:snapToGrid w:val="false"/>
        <w:ind w:firstLine="420"/>
        <w:rPr>
          <w:rFonts w:ascii="宋体" w:hAnsi="宋体"/>
          <w:b/>
          <w:b/>
          <w:szCs w:val="21"/>
        </w:rPr>
      </w:pPr>
      <w:r>
        <w:rPr/>
        <w:drawing>
          <wp:inline distT="0" distB="0" distL="0" distR="0">
            <wp:extent cx="2750820" cy="1589405"/>
            <wp:effectExtent l="0" t="0" r="0" b="0"/>
            <wp:docPr id="12"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
                    <pic:cNvPicPr>
                      <a:picLocks noChangeAspect="1" noChangeArrowheads="1"/>
                    </pic:cNvPicPr>
                  </pic:nvPicPr>
                  <pic:blipFill>
                    <a:blip r:embed="rId10"/>
                    <a:stretch>
                      <a:fillRect/>
                    </a:stretch>
                  </pic:blipFill>
                  <pic:spPr bwMode="auto">
                    <a:xfrm>
                      <a:off x="0" y="0"/>
                      <a:ext cx="2750820" cy="1589405"/>
                    </a:xfrm>
                    <a:prstGeom prst="rect">
                      <a:avLst/>
                    </a:prstGeom>
                  </pic:spPr>
                </pic:pic>
              </a:graphicData>
            </a:graphic>
          </wp:inline>
        </w:drawing>
      </w:r>
    </w:p>
    <w:p>
      <w:pPr>
        <w:pStyle w:val="Normal"/>
        <w:snapToGrid w:val="false"/>
        <w:ind w:firstLine="260"/>
        <w:rPr>
          <w:rFonts w:ascii="宋体" w:hAnsi="宋体"/>
          <w:b/>
          <w:b/>
          <w:sz w:val="13"/>
          <w:szCs w:val="13"/>
        </w:rPr>
      </w:pPr>
      <w:r>
        <w:rPr>
          <w:rFonts w:ascii="宋体" w:hAnsi="宋体"/>
          <w:b/>
          <w:sz w:val="13"/>
          <w:szCs w:val="13"/>
        </w:rPr>
      </w:r>
    </w:p>
    <w:p>
      <w:pPr>
        <w:pStyle w:val="Normal"/>
        <w:snapToGrid w:val="false"/>
        <w:spacing w:lineRule="auto" w:line="360"/>
        <w:ind w:firstLine="411"/>
        <w:rPr>
          <w:rFonts w:ascii="宋体" w:hAnsi="宋体"/>
          <w:szCs w:val="21"/>
        </w:rPr>
      </w:pPr>
      <w:r>
        <w:rPr/>
        <w:drawing>
          <wp:inline distT="0" distB="3175" distL="0" distR="0">
            <wp:extent cx="2767965" cy="1139825"/>
            <wp:effectExtent l="0" t="0" r="0" b="0"/>
            <wp:docPr id="13"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
                    <pic:cNvPicPr>
                      <a:picLocks noChangeAspect="1" noChangeArrowheads="1"/>
                    </pic:cNvPicPr>
                  </pic:nvPicPr>
                  <pic:blipFill>
                    <a:blip r:embed="rId11"/>
                    <a:stretch>
                      <a:fillRect/>
                    </a:stretch>
                  </pic:blipFill>
                  <pic:spPr bwMode="auto">
                    <a:xfrm>
                      <a:off x="0" y="0"/>
                      <a:ext cx="2767965" cy="1139825"/>
                    </a:xfrm>
                    <a:prstGeom prst="rect">
                      <a:avLst/>
                    </a:prstGeom>
                  </pic:spPr>
                </pic:pic>
              </a:graphicData>
            </a:graphic>
          </wp:inline>
        </w:drawing>
      </w:r>
      <w:r>
        <w:rPr>
          <w:rFonts w:ascii="宋体" w:hAnsi="宋体"/>
          <w:szCs w:val="21"/>
        </w:rPr>
        <w:t xml:space="preserve"> </w:t>
      </w:r>
    </w:p>
    <w:p>
      <w:pPr>
        <w:pStyle w:val="Normal"/>
        <w:snapToGrid w:val="false"/>
        <w:spacing w:lineRule="auto" w:line="360"/>
        <w:ind w:firstLine="411"/>
        <w:rPr>
          <w:rFonts w:ascii="宋体" w:hAnsi="宋体"/>
          <w:szCs w:val="21"/>
        </w:rPr>
      </w:pPr>
      <w:r>
        <w:rPr/>
        <w:drawing>
          <wp:inline distT="0" distB="0" distL="0" distR="0">
            <wp:extent cx="2766060" cy="1051560"/>
            <wp:effectExtent l="0" t="0" r="0" b="0"/>
            <wp:docPr id="14"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
                    <pic:cNvPicPr>
                      <a:picLocks noChangeAspect="1" noChangeArrowheads="1"/>
                    </pic:cNvPicPr>
                  </pic:nvPicPr>
                  <pic:blipFill>
                    <a:blip r:embed="rId12"/>
                    <a:stretch>
                      <a:fillRect/>
                    </a:stretch>
                  </pic:blipFill>
                  <pic:spPr bwMode="auto">
                    <a:xfrm>
                      <a:off x="0" y="0"/>
                      <a:ext cx="2766060" cy="1051560"/>
                    </a:xfrm>
                    <a:prstGeom prst="rect">
                      <a:avLst/>
                    </a:prstGeom>
                  </pic:spPr>
                </pic:pic>
              </a:graphicData>
            </a:graphic>
          </wp:inline>
        </w:drawing>
      </w:r>
    </w:p>
    <w:p>
      <w:pPr>
        <w:pStyle w:val="Normal"/>
        <w:snapToGrid w:val="false"/>
        <w:spacing w:lineRule="auto" w:line="360"/>
        <w:rPr>
          <w:rFonts w:ascii="宋体" w:hAnsi="宋体"/>
          <w:b/>
          <w:b/>
          <w:szCs w:val="21"/>
        </w:rPr>
      </w:pPr>
      <w:r>
        <w:rPr>
          <w:rFonts w:ascii="宋体" w:hAnsi="宋体"/>
          <w:b/>
          <w:szCs w:val="21"/>
        </w:rPr>
      </w:r>
    </w:p>
    <w:p>
      <w:pPr>
        <w:sectPr>
          <w:type w:val="continuous"/>
          <w:pgSz w:w="11906" w:h="16838"/>
          <w:pgMar w:left="1418" w:right="1797" w:header="851" w:top="1440" w:footer="0" w:bottom="1440" w:gutter="0"/>
          <w:cols w:num="2" w:space="426" w:equalWidth="true" w:sep="false"/>
          <w:formProt w:val="false"/>
          <w:textDirection w:val="lrTb"/>
          <w:docGrid w:type="default" w:linePitch="600" w:charSpace="38911"/>
        </w:sectPr>
      </w:pPr>
    </w:p>
    <w:p>
      <w:pPr>
        <w:pStyle w:val="ListParagraph"/>
        <w:numPr>
          <w:ilvl w:val="0"/>
          <w:numId w:val="5"/>
        </w:numPr>
        <w:snapToGrid w:val="false"/>
        <w:spacing w:lineRule="auto" w:line="360"/>
        <w:jc w:val="left"/>
        <w:rPr>
          <w:b/>
          <w:b/>
          <w:w w:val="90"/>
          <w:szCs w:val="21"/>
        </w:rPr>
      </w:pPr>
      <w:r>
        <w:rPr>
          <w:b/>
          <w:w w:val="90"/>
          <w:szCs w:val="21"/>
        </w:rPr>
        <w:t>中国人力资源理论与实践联盟</w:t>
      </w:r>
    </w:p>
    <w:p>
      <w:pPr>
        <w:pStyle w:val="Normal"/>
        <w:snapToGrid w:val="false"/>
        <w:spacing w:lineRule="auto" w:line="360"/>
        <w:ind w:firstLine="411"/>
        <w:rPr>
          <w:rFonts w:ascii="宋体" w:hAnsi="宋体" w:cs="Arial"/>
          <w:color w:val="000000"/>
          <w:szCs w:val="21"/>
        </w:rPr>
      </w:pPr>
      <w:r>
        <w:rPr>
          <w:rFonts w:ascii="宋体" w:hAnsi="宋体"/>
          <w:szCs w:val="21"/>
        </w:rPr>
        <w:t>联盟由中国人民大学商学院发起于</w:t>
      </w:r>
      <w:r>
        <w:rPr>
          <w:rFonts w:ascii="宋体" w:hAnsi="宋体"/>
          <w:szCs w:val="21"/>
        </w:rPr>
        <w:t>2011</w:t>
      </w:r>
      <w:r>
        <w:rPr>
          <w:rFonts w:ascii="宋体" w:hAnsi="宋体"/>
          <w:szCs w:val="21"/>
        </w:rPr>
        <w:t>年，注册会员近万人。</w:t>
      </w:r>
      <w:r>
        <w:rPr>
          <w:rFonts w:ascii="宋体" w:hAnsi="宋体" w:cs="Arial"/>
          <w:color w:val="000000"/>
          <w:szCs w:val="21"/>
        </w:rPr>
        <w:t>学员将自动成为联盟会员，将获得以下权利：</w:t>
      </w:r>
    </w:p>
    <w:p>
      <w:pPr>
        <w:pStyle w:val="Normal"/>
        <w:numPr>
          <w:ilvl w:val="0"/>
          <w:numId w:val="6"/>
        </w:numPr>
        <w:snapToGrid w:val="false"/>
        <w:spacing w:lineRule="auto" w:line="360"/>
        <w:rPr>
          <w:rFonts w:ascii="宋体" w:hAnsi="宋体" w:cs="Arial"/>
          <w:color w:val="000000"/>
          <w:szCs w:val="21"/>
        </w:rPr>
      </w:pPr>
      <w:r>
        <w:rPr>
          <w:rFonts w:ascii="宋体" w:hAnsi="宋体" w:cs="Arial"/>
          <w:color w:val="000000"/>
          <w:szCs w:val="21"/>
        </w:rPr>
        <w:t>优先参与联盟主办的中国人力资源管理年会及各项活动；</w:t>
      </w:r>
    </w:p>
    <w:p>
      <w:pPr>
        <w:pStyle w:val="Normal"/>
        <w:numPr>
          <w:ilvl w:val="0"/>
          <w:numId w:val="6"/>
        </w:numPr>
        <w:snapToGrid w:val="false"/>
        <w:spacing w:lineRule="auto" w:line="360"/>
        <w:rPr>
          <w:rFonts w:ascii="宋体" w:hAnsi="宋体" w:cs="Arial"/>
          <w:color w:val="000000"/>
          <w:szCs w:val="21"/>
        </w:rPr>
      </w:pPr>
      <w:r>
        <w:rPr>
          <w:rFonts w:ascii="宋体" w:hAnsi="宋体" w:cs="Arial"/>
          <w:color w:val="000000"/>
          <w:szCs w:val="21"/>
        </w:rPr>
        <w:t>享有专项活动的发起资格和权利；</w:t>
      </w:r>
    </w:p>
    <w:p>
      <w:pPr>
        <w:pStyle w:val="Normal"/>
        <w:numPr>
          <w:ilvl w:val="0"/>
          <w:numId w:val="6"/>
        </w:numPr>
        <w:snapToGrid w:val="false"/>
        <w:spacing w:lineRule="auto" w:line="360"/>
        <w:rPr>
          <w:rFonts w:ascii="宋体" w:hAnsi="宋体" w:cs="Arial"/>
          <w:color w:val="000000"/>
          <w:szCs w:val="21"/>
        </w:rPr>
      </w:pPr>
      <w:r>
        <w:rPr>
          <w:rFonts w:ascii="宋体" w:hAnsi="宋体" w:cs="Arial"/>
          <w:color w:val="000000"/>
          <w:szCs w:val="21"/>
        </w:rPr>
        <w:t>及时获取联盟出品的各种研究报告；</w:t>
      </w:r>
    </w:p>
    <w:p>
      <w:pPr>
        <w:pStyle w:val="Normal"/>
        <w:numPr>
          <w:ilvl w:val="0"/>
          <w:numId w:val="6"/>
        </w:numPr>
        <w:snapToGrid w:val="false"/>
        <w:spacing w:lineRule="auto" w:line="360"/>
        <w:rPr>
          <w:rFonts w:ascii="宋体" w:hAnsi="宋体" w:cs="Arial"/>
          <w:color w:val="000000"/>
          <w:szCs w:val="21"/>
        </w:rPr>
      </w:pPr>
      <w:r>
        <w:rPr>
          <w:rFonts w:ascii="宋体" w:hAnsi="宋体" w:cs="Arial"/>
          <w:color w:val="000000"/>
          <w:szCs w:val="21"/>
        </w:rPr>
        <w:t>优先获得将企业的最佳实践和成功经验开发成典型案例的机会。</w:t>
      </w:r>
    </w:p>
    <w:p>
      <w:pPr>
        <w:pStyle w:val="Normal"/>
        <w:snapToGrid w:val="false"/>
        <w:spacing w:lineRule="auto" w:line="360"/>
        <w:rPr>
          <w:rFonts w:ascii="宋体" w:hAnsi="宋体" w:cs="Arial"/>
          <w:color w:val="000000"/>
          <w:szCs w:val="21"/>
        </w:rPr>
      </w:pPr>
      <w:r>
        <w:rPr>
          <w:rFonts w:cs="Arial" w:ascii="宋体" w:hAnsi="宋体"/>
          <w:color w:val="000000"/>
          <w:szCs w:val="21"/>
        </w:rPr>
      </w:r>
    </w:p>
    <w:p>
      <w:pPr>
        <w:pStyle w:val="Normal"/>
        <w:jc w:val="left"/>
        <w:rPr>
          <w:rFonts w:ascii="微软雅黑" w:hAnsi="微软雅黑" w:eastAsia="微软雅黑" w:cs="Times New Roman"/>
          <w:b/>
          <w:b/>
          <w:bCs/>
          <w:color w:val="2E75B6" w:themeColor="accent5" w:themeShade="bf"/>
          <w:sz w:val="24"/>
          <w:szCs w:val="24"/>
        </w:rPr>
      </w:pPr>
      <w:r>
        <w:rPr>
          <w:rFonts w:ascii="微软雅黑" w:hAnsi="微软雅黑" w:cs="Times New Roman" w:eastAsia="微软雅黑"/>
          <w:b/>
          <w:bCs/>
          <w:color w:val="2E75B6" w:themeColor="accent5" w:themeShade="bf"/>
          <w:sz w:val="24"/>
          <w:szCs w:val="24"/>
        </w:rPr>
        <w:t>核心师资</w:t>
      </w:r>
    </w:p>
    <w:p>
      <w:pPr>
        <w:pStyle w:val="Normal"/>
        <w:snapToGrid w:val="false"/>
        <w:spacing w:lineRule="auto" w:line="360"/>
        <w:rPr>
          <w:rFonts w:ascii="宋体" w:hAnsi="宋体" w:cs="Arial"/>
          <w:color w:val="000000"/>
          <w:szCs w:val="21"/>
        </w:rPr>
      </w:pPr>
      <w:r>
        <w:rPr>
          <w:rFonts w:ascii="宋体" w:hAnsi="宋体" w:cs="Arial"/>
          <w:color w:val="000000"/>
          <w:szCs w:val="21"/>
        </w:rPr>
        <w:t>本课程由中国人民大学多位资深教授和业界实战派专家共同设计并讲授。</w:t>
      </w:r>
    </w:p>
    <w:p>
      <w:pPr>
        <w:pStyle w:val="Normal"/>
        <w:snapToGrid w:val="false"/>
        <w:spacing w:lineRule="auto" w:line="360"/>
        <w:rPr>
          <w:rFonts w:eastAsia="宋体" w:cs="宋体"/>
          <w:b/>
          <w:b/>
          <w:bCs/>
        </w:rPr>
      </w:pPr>
      <w:r>
        <w:rPr>
          <w:rStyle w:val="Strong"/>
          <w:rFonts w:cs="宋体" w:eastAsia="宋体"/>
        </w:rPr>
        <w:t>学院师资</w:t>
      </w:r>
    </w:p>
    <w:p>
      <w:pPr>
        <w:pStyle w:val="Normal"/>
        <w:snapToGrid w:val="false"/>
        <w:spacing w:lineRule="auto" w:line="360"/>
        <w:rPr>
          <w:rFonts w:ascii="宋体" w:hAnsi="宋体" w:cs="Arial"/>
          <w:color w:val="000000"/>
          <w:szCs w:val="21"/>
        </w:rPr>
      </w:pPr>
      <w:r>
        <w:rPr>
          <w:rFonts w:ascii="宋体" w:hAnsi="宋体" w:cs="Arial"/>
          <w:color w:val="000000"/>
          <w:szCs w:val="21"/>
        </w:rPr>
        <w:t>彭剑锋  中国人民大学教授，华夏基石董事长，华为六君子之一</w:t>
      </w:r>
    </w:p>
    <w:p>
      <w:pPr>
        <w:pStyle w:val="Normal"/>
        <w:snapToGrid w:val="false"/>
        <w:spacing w:lineRule="auto" w:line="360"/>
        <w:rPr>
          <w:rFonts w:ascii="宋体" w:hAnsi="宋体" w:cs="Arial"/>
          <w:color w:val="000000"/>
          <w:szCs w:val="21"/>
        </w:rPr>
      </w:pPr>
      <w:r>
        <w:rPr>
          <w:rFonts w:ascii="宋体" w:hAnsi="宋体" w:cs="Arial"/>
          <w:color w:val="000000"/>
          <w:szCs w:val="21"/>
        </w:rPr>
        <w:t>杨　杜  中国人民大学商学院教授，华为六君子之一</w:t>
      </w:r>
    </w:p>
    <w:p>
      <w:pPr>
        <w:pStyle w:val="Normal"/>
        <w:snapToGrid w:val="false"/>
        <w:spacing w:lineRule="auto" w:line="360"/>
        <w:rPr>
          <w:rFonts w:ascii="宋体" w:hAnsi="宋体" w:cs="Arial"/>
          <w:color w:val="000000"/>
          <w:szCs w:val="21"/>
        </w:rPr>
      </w:pPr>
      <w:r>
        <w:rPr>
          <w:rFonts w:ascii="宋体" w:hAnsi="宋体" w:cs="Arial"/>
          <w:color w:val="000000"/>
          <w:szCs w:val="21"/>
        </w:rPr>
        <w:t>黄卫伟  中国人民大学商学院教授，华为六君子之一</w:t>
      </w:r>
    </w:p>
    <w:p>
      <w:pPr>
        <w:pStyle w:val="Normal"/>
        <w:snapToGrid w:val="false"/>
        <w:spacing w:lineRule="auto" w:line="360"/>
        <w:rPr>
          <w:rFonts w:ascii="宋体" w:hAnsi="宋体" w:cs="Arial"/>
          <w:color w:val="000000"/>
          <w:szCs w:val="21"/>
        </w:rPr>
      </w:pPr>
      <w:r>
        <w:rPr>
          <w:rFonts w:ascii="宋体" w:hAnsi="宋体" w:cs="Arial"/>
          <w:color w:val="000000"/>
          <w:szCs w:val="21"/>
        </w:rPr>
        <w:t>陈春花  北京大学国家发展研究院教授，原新希望六和股份有限公司联席董事长、首席执行官</w:t>
      </w:r>
    </w:p>
    <w:p>
      <w:pPr>
        <w:pStyle w:val="Normal"/>
        <w:snapToGrid w:val="false"/>
        <w:spacing w:lineRule="auto" w:line="360"/>
        <w:rPr>
          <w:rFonts w:ascii="宋体" w:hAnsi="宋体" w:cs="Arial"/>
          <w:color w:val="000000"/>
          <w:szCs w:val="21"/>
        </w:rPr>
      </w:pPr>
      <w:r>
        <w:rPr>
          <w:rFonts w:ascii="宋体" w:hAnsi="宋体" w:cs="Arial"/>
          <w:color w:val="000000"/>
          <w:szCs w:val="21"/>
        </w:rPr>
        <w:t>宋  华  中国人民大学商学院副院长、教授</w:t>
      </w:r>
    </w:p>
    <w:p>
      <w:pPr>
        <w:pStyle w:val="Normal"/>
        <w:snapToGrid w:val="false"/>
        <w:spacing w:lineRule="auto" w:line="360"/>
        <w:rPr>
          <w:rFonts w:ascii="宋体" w:hAnsi="宋体" w:cs="Arial"/>
          <w:color w:val="000000"/>
          <w:szCs w:val="21"/>
        </w:rPr>
      </w:pPr>
      <w:r>
        <w:rPr>
          <w:rFonts w:ascii="宋体" w:hAnsi="宋体" w:cs="Arial"/>
          <w:color w:val="000000"/>
          <w:szCs w:val="21"/>
        </w:rPr>
        <w:t>周  禹  中国人民大学商学院教学杰出教授，</w:t>
      </w:r>
      <w:r>
        <w:rPr>
          <w:rFonts w:cs="Arial" w:ascii="宋体" w:hAnsi="宋体"/>
          <w:color w:val="000000"/>
          <w:szCs w:val="21"/>
        </w:rPr>
        <w:t>MBA</w:t>
      </w:r>
      <w:r>
        <w:rPr>
          <w:rFonts w:ascii="宋体" w:hAnsi="宋体" w:cs="Arial"/>
          <w:color w:val="000000"/>
          <w:szCs w:val="21"/>
        </w:rPr>
        <w:t>中心主任</w:t>
      </w:r>
    </w:p>
    <w:p>
      <w:pPr>
        <w:pStyle w:val="Normal"/>
        <w:snapToGrid w:val="false"/>
        <w:spacing w:lineRule="auto" w:line="360"/>
        <w:rPr>
          <w:rFonts w:ascii="宋体" w:hAnsi="宋体" w:cs="Arial"/>
          <w:color w:val="000000"/>
          <w:szCs w:val="21"/>
        </w:rPr>
      </w:pPr>
      <w:r>
        <w:rPr>
          <w:rFonts w:ascii="宋体" w:hAnsi="宋体" w:cs="Arial"/>
          <w:color w:val="000000"/>
          <w:szCs w:val="21"/>
        </w:rPr>
        <w:t>唐  鑛  中国人民大学劳动人事学院党委书记、教授</w:t>
      </w:r>
    </w:p>
    <w:p>
      <w:pPr>
        <w:pStyle w:val="Normal"/>
        <w:snapToGrid w:val="false"/>
        <w:spacing w:lineRule="auto" w:line="360"/>
        <w:rPr>
          <w:rFonts w:ascii="宋体" w:hAnsi="宋体" w:cs="Arial"/>
          <w:color w:val="000000"/>
          <w:szCs w:val="21"/>
        </w:rPr>
      </w:pPr>
      <w:r>
        <w:rPr>
          <w:rFonts w:ascii="宋体" w:hAnsi="宋体" w:cs="Arial"/>
          <w:color w:val="000000"/>
          <w:szCs w:val="21"/>
        </w:rPr>
        <w:t>支晓强  中国人民大学商学院财务管理教授</w:t>
      </w:r>
    </w:p>
    <w:p>
      <w:pPr>
        <w:pStyle w:val="Normal"/>
        <w:snapToGrid w:val="false"/>
        <w:spacing w:lineRule="auto" w:line="360"/>
        <w:rPr>
          <w:rFonts w:ascii="宋体" w:hAnsi="宋体" w:cs="Arial"/>
          <w:color w:val="000000"/>
          <w:szCs w:val="21"/>
        </w:rPr>
      </w:pPr>
      <w:r>
        <w:rPr>
          <w:rFonts w:ascii="宋体" w:hAnsi="宋体" w:cs="Arial"/>
          <w:color w:val="000000"/>
          <w:szCs w:val="21"/>
        </w:rPr>
        <w:t>刘东明  中国人民大学商学院财务管理教授</w:t>
      </w:r>
    </w:p>
    <w:p>
      <w:pPr>
        <w:pStyle w:val="Normal"/>
        <w:snapToGrid w:val="false"/>
        <w:spacing w:lineRule="auto" w:line="360"/>
        <w:rPr>
          <w:rFonts w:ascii="宋体" w:hAnsi="宋体" w:cs="Arial"/>
          <w:color w:val="000000"/>
          <w:szCs w:val="21"/>
        </w:rPr>
      </w:pPr>
      <w:r>
        <w:rPr>
          <w:rFonts w:ascii="宋体" w:hAnsi="宋体" w:cs="Arial"/>
          <w:color w:val="000000"/>
          <w:szCs w:val="21"/>
        </w:rPr>
        <w:t>冯云霞  中国人民大学商学院教学杰出教授</w:t>
      </w:r>
    </w:p>
    <w:p>
      <w:pPr>
        <w:pStyle w:val="Normal"/>
        <w:snapToGrid w:val="false"/>
        <w:spacing w:lineRule="auto" w:line="360"/>
        <w:rPr>
          <w:rFonts w:ascii="宋体" w:hAnsi="宋体" w:cs="Arial"/>
          <w:color w:val="000000"/>
          <w:szCs w:val="21"/>
        </w:rPr>
      </w:pPr>
      <w:r>
        <w:rPr>
          <w:rFonts w:ascii="宋体" w:hAnsi="宋体" w:cs="Arial"/>
          <w:color w:val="000000"/>
          <w:szCs w:val="21"/>
        </w:rPr>
        <w:t>刘凤军  中国人民大学商学院市场营销教授</w:t>
      </w:r>
    </w:p>
    <w:p>
      <w:pPr>
        <w:pStyle w:val="Normal"/>
        <w:snapToGrid w:val="false"/>
        <w:spacing w:lineRule="auto" w:line="360"/>
        <w:rPr>
          <w:rFonts w:ascii="宋体" w:hAnsi="宋体" w:cs="Arial"/>
          <w:color w:val="000000"/>
          <w:szCs w:val="21"/>
        </w:rPr>
      </w:pPr>
      <w:r>
        <w:rPr>
          <w:rFonts w:ascii="宋体" w:hAnsi="宋体" w:cs="Arial"/>
          <w:color w:val="000000"/>
          <w:szCs w:val="21"/>
        </w:rPr>
        <w:t>吕景胜  中国人民大学商学院企业管理教授</w:t>
      </w:r>
    </w:p>
    <w:p>
      <w:pPr>
        <w:pStyle w:val="Normal"/>
        <w:snapToGrid w:val="false"/>
        <w:spacing w:lineRule="auto" w:line="360"/>
        <w:rPr>
          <w:rFonts w:ascii="宋体" w:hAnsi="宋体" w:cs="Arial"/>
          <w:color w:val="000000"/>
          <w:szCs w:val="21"/>
        </w:rPr>
      </w:pPr>
      <w:r>
        <w:rPr>
          <w:rFonts w:ascii="宋体" w:hAnsi="宋体" w:cs="Arial"/>
          <w:color w:val="000000"/>
          <w:szCs w:val="21"/>
        </w:rPr>
        <w:t>葛建华  中国人民大学商学院副教授</w:t>
      </w:r>
    </w:p>
    <w:p>
      <w:pPr>
        <w:pStyle w:val="Normal"/>
        <w:snapToGrid w:val="false"/>
        <w:spacing w:lineRule="auto" w:line="360"/>
        <w:rPr>
          <w:rFonts w:ascii="宋体" w:hAnsi="宋体" w:cs="Arial"/>
          <w:color w:val="000000"/>
          <w:szCs w:val="21"/>
        </w:rPr>
      </w:pPr>
      <w:r>
        <w:rPr>
          <w:rFonts w:ascii="宋体" w:hAnsi="宋体" w:cs="Arial"/>
          <w:color w:val="000000"/>
          <w:szCs w:val="21"/>
        </w:rPr>
        <w:t>许玉林  中国人民大学劳动人事学院教授</w:t>
      </w:r>
    </w:p>
    <w:p>
      <w:pPr>
        <w:pStyle w:val="Normal"/>
        <w:snapToGrid w:val="false"/>
        <w:spacing w:lineRule="auto" w:line="360"/>
        <w:rPr>
          <w:rFonts w:ascii="宋体" w:hAnsi="宋体" w:cs="Arial"/>
          <w:color w:val="000000"/>
          <w:szCs w:val="21"/>
        </w:rPr>
      </w:pPr>
      <w:r>
        <w:rPr>
          <w:rFonts w:ascii="宋体" w:hAnsi="宋体" w:cs="Arial"/>
          <w:color w:val="000000"/>
          <w:szCs w:val="21"/>
        </w:rPr>
        <w:t>施  炜  中国人民大学金融与证券研究所高级研究员</w:t>
      </w:r>
    </w:p>
    <w:p>
      <w:pPr>
        <w:pStyle w:val="Normal"/>
        <w:snapToGrid w:val="false"/>
        <w:spacing w:lineRule="auto" w:line="360"/>
        <w:rPr>
          <w:rFonts w:ascii="宋体" w:hAnsi="宋体" w:cs="Arial"/>
          <w:color w:val="000000"/>
          <w:szCs w:val="21"/>
        </w:rPr>
      </w:pPr>
      <w:r>
        <w:rPr>
          <w:rFonts w:ascii="宋体" w:hAnsi="宋体" w:cs="Arial"/>
          <w:color w:val="000000"/>
          <w:szCs w:val="21"/>
        </w:rPr>
        <w:t>王  霆  中国人民大学劳动人事学院博士后，中国政法大学教授</w:t>
      </w:r>
    </w:p>
    <w:p>
      <w:pPr>
        <w:pStyle w:val="Normal"/>
        <w:snapToGrid w:val="false"/>
        <w:spacing w:lineRule="auto" w:line="360"/>
        <w:rPr>
          <w:rFonts w:ascii="宋体" w:hAnsi="宋体" w:cs="Arial"/>
          <w:color w:val="000000"/>
          <w:szCs w:val="21"/>
        </w:rPr>
      </w:pPr>
      <w:r>
        <w:rPr>
          <w:rFonts w:ascii="宋体" w:hAnsi="宋体" w:cs="Arial"/>
          <w:color w:val="000000"/>
          <w:szCs w:val="21"/>
        </w:rPr>
        <w:t>李  刚  中国人民大学研究员。国家级企业管理创新成果奖获得者</w:t>
      </w:r>
    </w:p>
    <w:p>
      <w:pPr>
        <w:pStyle w:val="Normal"/>
        <w:snapToGrid w:val="false"/>
        <w:spacing w:lineRule="auto" w:line="360"/>
        <w:rPr>
          <w:rFonts w:ascii="宋体" w:hAnsi="宋体" w:cs="Arial"/>
          <w:color w:val="000000"/>
          <w:szCs w:val="21"/>
        </w:rPr>
      </w:pPr>
      <w:r>
        <w:rPr>
          <w:rFonts w:ascii="宋体" w:hAnsi="宋体" w:cs="Arial"/>
          <w:color w:val="000000"/>
          <w:szCs w:val="21"/>
        </w:rPr>
        <w:t>文跃然  中国人民大学劳动人事学院教授</w:t>
      </w:r>
    </w:p>
    <w:p>
      <w:pPr>
        <w:pStyle w:val="Normal"/>
        <w:snapToGrid w:val="false"/>
        <w:spacing w:lineRule="auto" w:line="360"/>
        <w:rPr>
          <w:rFonts w:ascii="宋体" w:hAnsi="宋体" w:cs="Arial"/>
          <w:color w:val="000000"/>
          <w:szCs w:val="21"/>
        </w:rPr>
      </w:pPr>
      <w:r>
        <w:rPr>
          <w:rFonts w:ascii="宋体" w:hAnsi="宋体" w:cs="Arial"/>
          <w:color w:val="000000"/>
          <w:szCs w:val="21"/>
        </w:rPr>
        <w:t>吴春波  中国人民大学公共管理学院教授，华为资深管理顾问</w:t>
      </w:r>
    </w:p>
    <w:p>
      <w:pPr>
        <w:pStyle w:val="Normal"/>
        <w:snapToGrid w:val="false"/>
        <w:spacing w:lineRule="auto" w:line="360"/>
        <w:rPr>
          <w:rFonts w:ascii="宋体" w:hAnsi="宋体" w:cs="Arial"/>
          <w:color w:val="000000"/>
          <w:szCs w:val="21"/>
        </w:rPr>
      </w:pPr>
      <w:r>
        <w:rPr>
          <w:rFonts w:ascii="宋体" w:hAnsi="宋体" w:cs="Arial"/>
          <w:color w:val="000000"/>
          <w:szCs w:val="21"/>
        </w:rPr>
        <w:t>刘  昕  中国人民大学公共管理学院教授</w:t>
      </w:r>
    </w:p>
    <w:p>
      <w:pPr>
        <w:pStyle w:val="Normal"/>
        <w:snapToGrid w:val="false"/>
        <w:spacing w:lineRule="auto" w:line="360"/>
        <w:rPr>
          <w:rFonts w:ascii="宋体" w:hAnsi="宋体" w:cs="Arial"/>
          <w:color w:val="000000"/>
          <w:szCs w:val="21"/>
        </w:rPr>
      </w:pPr>
      <w:r>
        <w:rPr>
          <w:rFonts w:ascii="宋体" w:hAnsi="宋体" w:cs="Arial"/>
          <w:color w:val="000000"/>
          <w:szCs w:val="21"/>
        </w:rPr>
        <w:t>苏中兴  中国人民大学劳动人事学院教授，人力资源管理系主任</w:t>
      </w:r>
    </w:p>
    <w:p>
      <w:pPr>
        <w:pStyle w:val="Normal"/>
        <w:snapToGrid w:val="false"/>
        <w:spacing w:lineRule="auto" w:line="360"/>
        <w:rPr>
          <w:rFonts w:ascii="宋体" w:hAnsi="宋体" w:cs="Arial"/>
          <w:color w:val="000000"/>
          <w:szCs w:val="21"/>
        </w:rPr>
      </w:pPr>
      <w:r>
        <w:rPr>
          <w:rFonts w:ascii="宋体" w:hAnsi="宋体" w:cs="Arial"/>
          <w:color w:val="000000"/>
          <w:szCs w:val="21"/>
        </w:rPr>
        <w:t>刘松博  中国人民大学劳动人事学院教授，人力资源开发中心主任</w:t>
      </w:r>
    </w:p>
    <w:p>
      <w:pPr>
        <w:pStyle w:val="Normal"/>
        <w:snapToGrid w:val="false"/>
        <w:spacing w:lineRule="auto" w:line="360"/>
        <w:rPr>
          <w:rFonts w:ascii="宋体" w:hAnsi="宋体" w:cs="Arial"/>
          <w:color w:val="000000"/>
          <w:szCs w:val="21"/>
        </w:rPr>
      </w:pPr>
      <w:r>
        <w:rPr>
          <w:rFonts w:ascii="宋体" w:hAnsi="宋体" w:cs="Arial"/>
          <w:color w:val="000000"/>
          <w:szCs w:val="21"/>
        </w:rPr>
        <w:t>谢  康  中山大学管理学院教授，信息经济与政策研究中心主任</w:t>
      </w:r>
    </w:p>
    <w:p>
      <w:pPr>
        <w:pStyle w:val="Normal"/>
        <w:snapToGrid w:val="false"/>
        <w:spacing w:lineRule="auto" w:line="360"/>
        <w:rPr>
          <w:rFonts w:ascii="宋体" w:hAnsi="宋体" w:cs="Arial"/>
          <w:color w:val="000000"/>
          <w:szCs w:val="21"/>
        </w:rPr>
      </w:pPr>
      <w:r>
        <w:rPr>
          <w:rFonts w:ascii="宋体" w:hAnsi="宋体" w:cs="Arial"/>
          <w:color w:val="000000"/>
          <w:szCs w:val="21"/>
        </w:rPr>
        <w:t>李  安  人大管理哲学博士，曾获“中国企业教育杰出人物奖”</w:t>
      </w:r>
    </w:p>
    <w:p>
      <w:pPr>
        <w:pStyle w:val="Normal"/>
        <w:snapToGrid w:val="false"/>
        <w:spacing w:lineRule="auto" w:line="360"/>
        <w:rPr>
          <w:rFonts w:ascii="宋体" w:hAnsi="宋体" w:cs="Arial"/>
          <w:color w:val="000000"/>
          <w:szCs w:val="21"/>
        </w:rPr>
      </w:pPr>
      <w:r>
        <w:rPr>
          <w:rFonts w:cs="Arial" w:ascii="宋体" w:hAnsi="宋体"/>
          <w:color w:val="000000"/>
          <w:szCs w:val="21"/>
        </w:rPr>
      </w:r>
    </w:p>
    <w:p>
      <w:pPr>
        <w:pStyle w:val="Normal"/>
        <w:snapToGrid w:val="false"/>
        <w:spacing w:lineRule="auto" w:line="360"/>
        <w:rPr>
          <w:rStyle w:val="Strong"/>
          <w:rFonts w:eastAsia="宋体" w:cs="宋体"/>
        </w:rPr>
      </w:pPr>
      <w:r>
        <w:rPr>
          <w:rStyle w:val="Strong"/>
          <w:rFonts w:cs="宋体" w:eastAsia="宋体"/>
        </w:rPr>
        <w:t>实战师资</w:t>
      </w:r>
      <w:r>
        <w:rPr>
          <w:rStyle w:val="Strong"/>
          <w:rFonts w:eastAsia="宋体" w:cs="宋体"/>
        </w:rPr>
        <w:t>&amp;</w:t>
      </w:r>
      <w:r>
        <w:rPr>
          <w:rStyle w:val="Strong"/>
          <w:rFonts w:cs="宋体" w:eastAsia="宋体"/>
        </w:rPr>
        <w:t>分享嘉宾</w:t>
      </w:r>
    </w:p>
    <w:p>
      <w:pPr>
        <w:pStyle w:val="Normal"/>
        <w:snapToGrid w:val="false"/>
        <w:spacing w:lineRule="auto" w:line="360"/>
        <w:rPr>
          <w:rFonts w:eastAsia="宋体" w:cs="宋体"/>
          <w:b/>
          <w:b/>
          <w:bCs/>
        </w:rPr>
      </w:pPr>
      <w:r>
        <w:rPr>
          <w:rStyle w:val="Strong"/>
          <w:rFonts w:cs="宋体" w:eastAsia="宋体"/>
        </w:rPr>
        <w:t>（部分为拟邀）</w:t>
      </w:r>
    </w:p>
    <w:p>
      <w:pPr>
        <w:pStyle w:val="Normal"/>
        <w:snapToGrid w:val="false"/>
        <w:spacing w:lineRule="auto" w:line="360"/>
        <w:rPr>
          <w:rFonts w:ascii="宋体" w:hAnsi="宋体" w:cs="Arial"/>
          <w:color w:val="000000"/>
          <w:szCs w:val="21"/>
        </w:rPr>
      </w:pPr>
      <w:r>
        <w:rPr>
          <w:rFonts w:ascii="宋体" w:hAnsi="宋体" w:cs="Arial"/>
          <w:color w:val="000000"/>
          <w:szCs w:val="21"/>
        </w:rPr>
        <w:t>熊　辉  百度人才智库、百度商业智能实验室主任</w:t>
      </w:r>
    </w:p>
    <w:p>
      <w:pPr>
        <w:pStyle w:val="Normal"/>
        <w:snapToGrid w:val="false"/>
        <w:spacing w:lineRule="auto" w:line="360"/>
        <w:rPr>
          <w:rFonts w:ascii="宋体" w:hAnsi="宋体" w:cs="Arial"/>
          <w:color w:val="000000"/>
          <w:szCs w:val="21"/>
        </w:rPr>
      </w:pPr>
      <w:r>
        <w:rPr>
          <w:rFonts w:ascii="宋体" w:hAnsi="宋体" w:cs="Arial"/>
          <w:color w:val="000000"/>
          <w:szCs w:val="21"/>
        </w:rPr>
        <w:t>谢克海  方正集团总裁兼首席执行官，人大商学院管理实践教授</w:t>
      </w:r>
    </w:p>
    <w:p>
      <w:pPr>
        <w:pStyle w:val="Normal"/>
        <w:snapToGrid w:val="false"/>
        <w:spacing w:lineRule="auto" w:line="360"/>
        <w:rPr>
          <w:rFonts w:ascii="宋体" w:hAnsi="宋体" w:cs="Arial"/>
          <w:color w:val="000000"/>
          <w:szCs w:val="21"/>
        </w:rPr>
      </w:pPr>
      <w:r>
        <w:rPr>
          <w:rFonts w:ascii="宋体" w:hAnsi="宋体" w:cs="Arial"/>
          <w:color w:val="000000"/>
          <w:szCs w:val="21"/>
        </w:rPr>
        <w:t>奚　丹  腾讯集团高级副总裁</w:t>
      </w:r>
    </w:p>
    <w:p>
      <w:pPr>
        <w:pStyle w:val="Normal"/>
        <w:snapToGrid w:val="false"/>
        <w:spacing w:lineRule="auto" w:line="360"/>
        <w:rPr>
          <w:rFonts w:ascii="宋体" w:hAnsi="宋体" w:cs="Arial"/>
          <w:color w:val="000000"/>
          <w:szCs w:val="21"/>
        </w:rPr>
      </w:pPr>
      <w:r>
        <w:rPr>
          <w:rFonts w:ascii="宋体" w:hAnsi="宋体" w:cs="Arial"/>
          <w:color w:val="000000"/>
          <w:szCs w:val="21"/>
        </w:rPr>
        <w:t>蔡方方  平安集团副总经理</w:t>
      </w:r>
    </w:p>
    <w:p>
      <w:pPr>
        <w:pStyle w:val="Normal"/>
        <w:snapToGrid w:val="false"/>
        <w:spacing w:lineRule="auto" w:line="360"/>
        <w:rPr>
          <w:rFonts w:ascii="宋体" w:hAnsi="宋体" w:cs="Arial"/>
          <w:color w:val="000000"/>
          <w:szCs w:val="21"/>
        </w:rPr>
      </w:pPr>
      <w:r>
        <w:rPr>
          <w:rFonts w:ascii="宋体" w:hAnsi="宋体" w:cs="Arial"/>
          <w:color w:val="000000"/>
          <w:szCs w:val="21"/>
        </w:rPr>
        <w:t>邓康明  阿里巴巴前资深副总裁、首席人力官，车好多执行总裁、人大商学院管理实践教授</w:t>
      </w:r>
    </w:p>
    <w:p>
      <w:pPr>
        <w:pStyle w:val="Normal"/>
        <w:snapToGrid w:val="false"/>
        <w:spacing w:lineRule="auto" w:line="360"/>
        <w:rPr>
          <w:rFonts w:ascii="宋体" w:hAnsi="宋体" w:cs="Arial"/>
          <w:color w:val="000000"/>
          <w:szCs w:val="21"/>
        </w:rPr>
      </w:pPr>
      <w:r>
        <w:rPr>
          <w:rFonts w:ascii="宋体" w:hAnsi="宋体" w:cs="Arial"/>
          <w:color w:val="000000"/>
          <w:szCs w:val="21"/>
        </w:rPr>
        <w:t>谭华杰  万科企业股份有限公司高级副总裁、人大商学院管理实践教授</w:t>
      </w:r>
    </w:p>
    <w:p>
      <w:pPr>
        <w:pStyle w:val="Normal"/>
        <w:snapToGrid w:val="false"/>
        <w:spacing w:lineRule="auto" w:line="360"/>
        <w:rPr>
          <w:rFonts w:ascii="宋体" w:hAnsi="宋体" w:cs="Arial"/>
          <w:color w:val="000000"/>
          <w:szCs w:val="21"/>
        </w:rPr>
      </w:pPr>
      <w:r>
        <w:rPr>
          <w:rFonts w:ascii="宋体" w:hAnsi="宋体" w:cs="Arial"/>
          <w:color w:val="000000"/>
          <w:szCs w:val="21"/>
        </w:rPr>
        <w:t>许  正  前</w:t>
      </w:r>
      <w:r>
        <w:rPr>
          <w:rFonts w:cs="Arial" w:ascii="宋体" w:hAnsi="宋体"/>
          <w:color w:val="000000"/>
          <w:szCs w:val="21"/>
        </w:rPr>
        <w:t>GE</w:t>
      </w:r>
      <w:r>
        <w:rPr>
          <w:rFonts w:ascii="宋体" w:hAnsi="宋体" w:cs="Arial"/>
          <w:color w:val="000000"/>
          <w:szCs w:val="21"/>
        </w:rPr>
        <w:t>（中国）有限公司中国区副总裁</w:t>
      </w:r>
    </w:p>
    <w:p>
      <w:pPr>
        <w:pStyle w:val="Normal"/>
        <w:snapToGrid w:val="false"/>
        <w:spacing w:lineRule="auto" w:line="360"/>
        <w:rPr>
          <w:rFonts w:ascii="宋体" w:hAnsi="宋体" w:cs="Arial"/>
          <w:color w:val="000000"/>
          <w:szCs w:val="21"/>
        </w:rPr>
      </w:pPr>
      <w:r>
        <w:rPr>
          <w:rFonts w:ascii="宋体" w:hAnsi="宋体" w:cs="Arial"/>
          <w:color w:val="000000"/>
          <w:szCs w:val="21"/>
        </w:rPr>
        <w:t>胡赛雄  曾是华为蓝血十杰奖得主，华为业务管理哲学教学方案主要设计者</w:t>
      </w:r>
    </w:p>
    <w:p>
      <w:pPr>
        <w:pStyle w:val="Normal"/>
        <w:snapToGrid w:val="false"/>
        <w:spacing w:lineRule="auto" w:line="360"/>
        <w:rPr>
          <w:rFonts w:ascii="宋体" w:hAnsi="宋体" w:cs="Arial"/>
          <w:color w:val="000000"/>
          <w:szCs w:val="21"/>
        </w:rPr>
      </w:pPr>
      <w:r>
        <w:rPr>
          <w:rFonts w:ascii="宋体" w:hAnsi="宋体" w:cs="Arial"/>
          <w:color w:val="000000"/>
          <w:szCs w:val="21"/>
        </w:rPr>
        <w:t>梁雅杰  人力资源实践专家，曾任世界</w:t>
      </w:r>
      <w:r>
        <w:rPr>
          <w:rFonts w:cs="Arial" w:ascii="宋体" w:hAnsi="宋体"/>
          <w:color w:val="000000"/>
          <w:szCs w:val="21"/>
        </w:rPr>
        <w:t>500</w:t>
      </w:r>
      <w:r>
        <w:rPr>
          <w:rFonts w:ascii="宋体" w:hAnsi="宋体" w:cs="Arial"/>
          <w:color w:val="000000"/>
          <w:szCs w:val="21"/>
        </w:rPr>
        <w:t>强企业人力资源高管</w:t>
      </w:r>
    </w:p>
    <w:p>
      <w:pPr>
        <w:pStyle w:val="Normal"/>
        <w:snapToGrid w:val="false"/>
        <w:spacing w:lineRule="auto" w:line="360"/>
        <w:rPr>
          <w:rFonts w:ascii="宋体" w:hAnsi="宋体" w:cs="Arial"/>
          <w:color w:val="000000"/>
          <w:szCs w:val="21"/>
        </w:rPr>
      </w:pPr>
      <w:r>
        <w:rPr>
          <w:rFonts w:ascii="宋体" w:hAnsi="宋体" w:cs="Arial"/>
          <w:color w:val="000000"/>
          <w:szCs w:val="21"/>
        </w:rPr>
        <w:t>房晟陶  原龙湖集团执行董事兼首席人力资源官，墨创科技创始人</w:t>
      </w:r>
    </w:p>
    <w:p>
      <w:pPr>
        <w:pStyle w:val="Normal"/>
        <w:snapToGrid w:val="false"/>
        <w:spacing w:lineRule="auto" w:line="360"/>
        <w:rPr>
          <w:rFonts w:ascii="宋体" w:hAnsi="宋体" w:cs="Arial"/>
          <w:color w:val="000000"/>
          <w:szCs w:val="21"/>
        </w:rPr>
      </w:pPr>
      <w:r>
        <w:rPr>
          <w:rFonts w:ascii="宋体" w:hAnsi="宋体" w:cs="Arial"/>
          <w:color w:val="000000"/>
          <w:szCs w:val="21"/>
        </w:rPr>
        <w:t>隆  雨  原京东集团</w:t>
      </w:r>
      <w:r>
        <w:rPr>
          <w:rFonts w:cs="Arial" w:ascii="宋体" w:hAnsi="宋体"/>
          <w:color w:val="000000"/>
          <w:szCs w:val="21"/>
        </w:rPr>
        <w:t>CHO&amp;</w:t>
      </w:r>
      <w:r>
        <w:rPr>
          <w:rFonts w:ascii="宋体" w:hAnsi="宋体" w:cs="Arial"/>
          <w:color w:val="000000"/>
          <w:szCs w:val="21"/>
        </w:rPr>
        <w:t>法律总顾问</w:t>
      </w:r>
    </w:p>
    <w:p>
      <w:pPr>
        <w:pStyle w:val="Normal"/>
        <w:snapToGrid w:val="false"/>
        <w:spacing w:lineRule="auto" w:line="360"/>
        <w:rPr>
          <w:rFonts w:ascii="宋体" w:hAnsi="宋体" w:cs="Arial"/>
          <w:color w:val="000000"/>
          <w:szCs w:val="21"/>
        </w:rPr>
      </w:pPr>
      <w:r>
        <w:rPr>
          <w:rFonts w:ascii="宋体" w:hAnsi="宋体" w:cs="Arial"/>
          <w:color w:val="000000"/>
          <w:szCs w:val="21"/>
        </w:rPr>
        <w:t>魏  梅  吉利集团副总裁</w:t>
      </w:r>
    </w:p>
    <w:p>
      <w:pPr>
        <w:pStyle w:val="Normal"/>
        <w:snapToGrid w:val="false"/>
        <w:spacing w:lineRule="auto" w:line="360"/>
        <w:rPr>
          <w:rFonts w:ascii="宋体" w:hAnsi="宋体" w:cs="Arial"/>
          <w:color w:val="000000"/>
          <w:szCs w:val="21"/>
        </w:rPr>
      </w:pPr>
      <w:r>
        <w:rPr>
          <w:rFonts w:ascii="宋体" w:hAnsi="宋体" w:cs="Arial"/>
          <w:color w:val="000000"/>
          <w:szCs w:val="21"/>
        </w:rPr>
        <w:t>高  岚  联想集团全球人力资源高级副总裁</w:t>
      </w:r>
    </w:p>
    <w:p>
      <w:pPr>
        <w:pStyle w:val="Normal"/>
        <w:snapToGrid w:val="false"/>
        <w:spacing w:lineRule="auto" w:line="360"/>
        <w:rPr>
          <w:rFonts w:ascii="宋体" w:hAnsi="宋体" w:cs="Arial"/>
          <w:color w:val="000000"/>
          <w:szCs w:val="21"/>
        </w:rPr>
      </w:pPr>
      <w:r>
        <w:rPr>
          <w:rFonts w:ascii="宋体" w:hAnsi="宋体" w:cs="Arial"/>
          <w:color w:val="000000"/>
          <w:szCs w:val="21"/>
        </w:rPr>
        <w:t>王煜全  海银资本创始合伙人、全球科技创新资深专家</w:t>
      </w:r>
    </w:p>
    <w:p>
      <w:pPr>
        <w:pStyle w:val="Normal"/>
        <w:snapToGrid w:val="false"/>
        <w:spacing w:lineRule="auto" w:line="360"/>
        <w:rPr>
          <w:rFonts w:ascii="宋体" w:hAnsi="宋体" w:cs="Arial"/>
          <w:color w:val="000000"/>
          <w:szCs w:val="21"/>
        </w:rPr>
      </w:pPr>
      <w:r>
        <w:rPr>
          <w:rFonts w:ascii="宋体" w:hAnsi="宋体" w:cs="Arial"/>
          <w:color w:val="000000"/>
          <w:szCs w:val="21"/>
        </w:rPr>
        <w:t>苗兆光  华夏基石业务副总裁兼成长企业研究中心总经理</w:t>
      </w:r>
    </w:p>
    <w:p>
      <w:pPr>
        <w:pStyle w:val="Normal"/>
        <w:snapToGrid w:val="false"/>
        <w:spacing w:lineRule="auto" w:line="360"/>
        <w:rPr>
          <w:rFonts w:ascii="宋体" w:hAnsi="宋体" w:cs="Arial"/>
          <w:color w:val="000000"/>
          <w:szCs w:val="21"/>
        </w:rPr>
      </w:pPr>
      <w:r>
        <w:rPr>
          <w:rFonts w:ascii="宋体" w:hAnsi="宋体" w:cs="Arial"/>
          <w:color w:val="000000"/>
          <w:szCs w:val="21"/>
        </w:rPr>
        <w:t>夏惊鸣  华夏基石副总裁，首席战略与企业文化专家</w:t>
      </w:r>
      <w:r>
        <w:rPr>
          <w:rFonts w:cs="Arial" w:ascii="宋体" w:hAnsi="宋体"/>
          <w:color w:val="000000"/>
          <w:szCs w:val="21"/>
        </w:rPr>
        <w:t>;</w:t>
      </w:r>
      <w:r>
        <w:rPr>
          <w:rFonts w:ascii="宋体" w:hAnsi="宋体" w:cs="Arial"/>
          <w:color w:val="000000"/>
          <w:szCs w:val="21"/>
        </w:rPr>
        <w:t>，</w:t>
      </w:r>
    </w:p>
    <w:p>
      <w:pPr>
        <w:pStyle w:val="Normal"/>
        <w:snapToGrid w:val="false"/>
        <w:spacing w:lineRule="auto" w:line="360"/>
        <w:rPr>
          <w:rFonts w:ascii="宋体" w:hAnsi="宋体" w:cs="Arial"/>
          <w:color w:val="000000"/>
          <w:szCs w:val="21"/>
        </w:rPr>
      </w:pPr>
      <w:r>
        <w:rPr>
          <w:rFonts w:ascii="宋体" w:hAnsi="宋体" w:cs="Arial"/>
          <w:color w:val="000000"/>
          <w:szCs w:val="21"/>
        </w:rPr>
        <w:t xml:space="preserve">康志军  </w:t>
      </w:r>
      <w:r>
        <w:rPr>
          <w:rFonts w:cs="Arial" w:ascii="宋体" w:hAnsi="宋体"/>
          <w:color w:val="000000"/>
          <w:szCs w:val="21"/>
        </w:rPr>
        <w:t>HR</w:t>
      </w:r>
      <w:r>
        <w:rPr>
          <w:rFonts w:ascii="宋体" w:hAnsi="宋体" w:cs="Arial"/>
          <w:color w:val="000000"/>
          <w:szCs w:val="21"/>
        </w:rPr>
        <w:t xml:space="preserve">转型突破中心创始合伙人   </w:t>
      </w:r>
    </w:p>
    <w:p>
      <w:pPr>
        <w:pStyle w:val="Normal"/>
        <w:snapToGrid w:val="false"/>
        <w:spacing w:lineRule="auto" w:line="360"/>
        <w:rPr>
          <w:rFonts w:ascii="宋体" w:hAnsi="宋体" w:cs="Arial"/>
          <w:color w:val="000000"/>
          <w:szCs w:val="21"/>
        </w:rPr>
      </w:pPr>
      <w:r>
        <w:rPr>
          <w:rFonts w:ascii="宋体" w:hAnsi="宋体" w:cs="Arial"/>
          <w:color w:val="000000"/>
          <w:szCs w:val="21"/>
        </w:rPr>
        <w:t>周　丹  北森云计算高级副总裁，北森人才管理研究院院长</w:t>
      </w:r>
    </w:p>
    <w:p>
      <w:pPr>
        <w:pStyle w:val="Normal"/>
        <w:snapToGrid w:val="false"/>
        <w:spacing w:lineRule="auto" w:line="360"/>
        <w:rPr>
          <w:rFonts w:ascii="宋体" w:hAnsi="宋体" w:cs="Arial"/>
          <w:color w:val="000000"/>
          <w:szCs w:val="21"/>
        </w:rPr>
      </w:pPr>
      <w:r>
        <w:rPr>
          <w:rFonts w:ascii="宋体" w:hAnsi="宋体" w:cs="Arial"/>
          <w:color w:val="000000"/>
          <w:szCs w:val="21"/>
        </w:rPr>
        <w:t>马成功  小米谷仓学院总顾问</w:t>
      </w:r>
    </w:p>
    <w:p>
      <w:pPr>
        <w:pStyle w:val="Normal"/>
        <w:snapToGrid w:val="false"/>
        <w:spacing w:lineRule="auto" w:line="360"/>
        <w:rPr>
          <w:rFonts w:ascii="宋体" w:hAnsi="宋体" w:cs="Arial"/>
          <w:color w:val="000000"/>
          <w:szCs w:val="21"/>
        </w:rPr>
      </w:pPr>
      <w:r>
        <w:rPr>
          <w:rFonts w:ascii="宋体" w:hAnsi="宋体" w:cs="Arial"/>
          <w:color w:val="000000"/>
          <w:szCs w:val="21"/>
        </w:rPr>
        <w:t xml:space="preserve">刘  灿  </w:t>
      </w:r>
      <w:r>
        <w:rPr>
          <w:rFonts w:cs="Arial" w:ascii="宋体" w:hAnsi="宋体"/>
          <w:color w:val="000000"/>
          <w:szCs w:val="21"/>
        </w:rPr>
        <w:t>OKR</w:t>
      </w:r>
      <w:r>
        <w:rPr>
          <w:rFonts w:ascii="宋体" w:hAnsi="宋体" w:cs="Arial"/>
          <w:color w:val="000000"/>
          <w:szCs w:val="21"/>
        </w:rPr>
        <w:t>实战专家，中兴通讯领导力总监</w:t>
      </w:r>
    </w:p>
    <w:p>
      <w:pPr>
        <w:pStyle w:val="Normal"/>
        <w:snapToGrid w:val="false"/>
        <w:spacing w:lineRule="auto" w:line="360"/>
        <w:rPr>
          <w:rFonts w:ascii="宋体" w:hAnsi="宋体" w:cs="Arial"/>
          <w:color w:val="000000"/>
          <w:szCs w:val="21"/>
        </w:rPr>
      </w:pPr>
      <w:r>
        <w:rPr>
          <w:rFonts w:ascii="宋体" w:hAnsi="宋体" w:cs="Arial"/>
          <w:color w:val="000000"/>
          <w:szCs w:val="21"/>
        </w:rPr>
        <w:t>冉  浩  瑞幸咖啡人力行政部总监</w:t>
      </w:r>
    </w:p>
    <w:p>
      <w:pPr>
        <w:pStyle w:val="Normal"/>
        <w:snapToGrid w:val="false"/>
        <w:spacing w:lineRule="auto" w:line="360"/>
        <w:rPr>
          <w:rFonts w:ascii="宋体" w:hAnsi="宋体" w:cs="Arial"/>
          <w:color w:val="000000"/>
          <w:szCs w:val="21"/>
        </w:rPr>
      </w:pPr>
      <w:r>
        <w:rPr>
          <w:rFonts w:cs="Arial" w:ascii="宋体" w:hAnsi="宋体"/>
          <w:color w:val="000000"/>
          <w:szCs w:val="21"/>
        </w:rPr>
      </w:r>
    </w:p>
    <w:p>
      <w:pPr>
        <w:pStyle w:val="Normal"/>
        <w:snapToGrid w:val="false"/>
        <w:spacing w:lineRule="auto" w:line="360"/>
        <w:rPr>
          <w:rFonts w:ascii="宋体" w:hAnsi="宋体" w:cs="Arial"/>
          <w:color w:val="000000"/>
          <w:sz w:val="10"/>
          <w:szCs w:val="21"/>
        </w:rPr>
      </w:pPr>
      <w:r>
        <w:rPr>
          <w:rFonts w:cs="Arial" w:ascii="宋体" w:hAnsi="宋体"/>
          <w:color w:val="000000"/>
          <w:sz w:val="10"/>
          <w:szCs w:val="21"/>
        </w:rPr>
      </w:r>
    </w:p>
    <w:p>
      <w:pPr>
        <w:pStyle w:val="Normal"/>
        <w:snapToGrid w:val="false"/>
        <w:spacing w:lineRule="auto" w:line="360"/>
        <w:rPr>
          <w:rFonts w:ascii="微软雅黑" w:hAnsi="微软雅黑" w:eastAsia="微软雅黑"/>
          <w:b/>
          <w:b/>
          <w:bCs/>
          <w:color w:val="365F91"/>
          <w:sz w:val="6"/>
        </w:rPr>
      </w:pPr>
      <w:r>
        <w:rPr>
          <w:rFonts w:eastAsia="微软雅黑" w:ascii="微软雅黑" w:hAnsi="微软雅黑"/>
          <w:b/>
          <w:bCs/>
          <w:color w:val="365F91"/>
          <w:sz w:val="6"/>
        </w:rPr>
      </w:r>
    </w:p>
    <w:p>
      <w:pPr>
        <w:pStyle w:val="Normal"/>
        <w:snapToGrid w:val="false"/>
        <w:spacing w:lineRule="auto" w:line="360"/>
        <w:rPr>
          <w:rFonts w:ascii="微软雅黑" w:hAnsi="微软雅黑" w:eastAsia="微软雅黑"/>
          <w:b/>
          <w:b/>
          <w:bCs/>
          <w:color w:val="365F91"/>
          <w:sz w:val="24"/>
        </w:rPr>
      </w:pPr>
      <w:r>
        <w:rPr>
          <w:rFonts w:ascii="微软雅黑" w:hAnsi="微软雅黑" w:eastAsia="微软雅黑"/>
          <w:b/>
          <w:bCs/>
          <w:color w:val="365F91"/>
          <w:sz w:val="24"/>
        </w:rPr>
        <w:t>学员感言</w:t>
      </w:r>
    </w:p>
    <w:p>
      <w:pPr>
        <w:pStyle w:val="Normal"/>
        <w:snapToGrid w:val="false"/>
        <w:spacing w:lineRule="auto" w:line="360"/>
        <w:jc w:val="left"/>
        <w:rPr>
          <w:rFonts w:ascii="宋体" w:hAnsi="宋体" w:cs="Arial"/>
          <w:szCs w:val="21"/>
        </w:rPr>
      </w:pPr>
      <w:r>
        <w:drawing>
          <wp:anchor behindDoc="0" distT="0" distB="1270" distL="0" distR="114300" simplePos="0" locked="0" layoutInCell="1" allowOverlap="1" relativeHeight="3">
            <wp:simplePos x="0" y="0"/>
            <wp:positionH relativeFrom="margin">
              <wp:align>left</wp:align>
            </wp:positionH>
            <wp:positionV relativeFrom="paragraph">
              <wp:posOffset>7620</wp:posOffset>
            </wp:positionV>
            <wp:extent cx="1280795" cy="1389380"/>
            <wp:effectExtent l="0" t="0" r="0" b="0"/>
            <wp:wrapSquare wrapText="bothSides"/>
            <wp:docPr id="15"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
                    <pic:cNvPicPr>
                      <a:picLocks noChangeAspect="1" noChangeArrowheads="1"/>
                    </pic:cNvPicPr>
                  </pic:nvPicPr>
                  <pic:blipFill>
                    <a:blip r:embed="rId13"/>
                    <a:stretch>
                      <a:fillRect/>
                    </a:stretch>
                  </pic:blipFill>
                  <pic:spPr bwMode="auto">
                    <a:xfrm>
                      <a:off x="0" y="0"/>
                      <a:ext cx="1280795" cy="1389380"/>
                    </a:xfrm>
                    <a:prstGeom prst="rect">
                      <a:avLst/>
                    </a:prstGeom>
                  </pic:spPr>
                </pic:pic>
              </a:graphicData>
            </a:graphic>
          </wp:anchor>
        </w:drawing>
      </w:r>
      <w:r>
        <w:rPr>
          <w:szCs w:val="21"/>
        </w:rPr>
        <w:t>在</w:t>
      </w:r>
      <w:r>
        <w:rPr>
          <w:szCs w:val="21"/>
        </w:rPr>
        <w:t>人大商学院的学习过程中，学习了国内国际人力资源管理最前沿的理论知识及国内顶级企业的经典案例，授课老师都是目前在人力资源专业领域的顶尖教授，老师不一定能帮助我解决实际的问题，但是能给到我解决实际问题的思维和不同的视角。</w:t>
      </w:r>
    </w:p>
    <w:p>
      <w:pPr>
        <w:pStyle w:val="Normal"/>
        <w:snapToGrid w:val="false"/>
        <w:spacing w:lineRule="auto" w:line="360"/>
        <w:jc w:val="right"/>
        <w:rPr>
          <w:rFonts w:ascii="宋体" w:hAnsi="宋体" w:cs="Arial"/>
          <w:b/>
          <w:b/>
          <w:szCs w:val="21"/>
        </w:rPr>
      </w:pPr>
      <w:r>
        <w:rPr>
          <w:rFonts w:ascii="宋体" w:hAnsi="宋体" w:cs="Arial"/>
          <w:b/>
          <w:szCs w:val="21"/>
        </w:rPr>
        <w:t>杜中兵 巴奴毛肚火锅创始人、董事长</w:t>
      </w:r>
    </w:p>
    <w:p>
      <w:pPr>
        <w:pStyle w:val="Normal"/>
        <w:snapToGrid w:val="false"/>
        <w:spacing w:lineRule="auto" w:line="360"/>
        <w:ind w:firstLine="420"/>
        <w:jc w:val="right"/>
        <w:rPr>
          <w:rFonts w:ascii="宋体" w:hAnsi="宋体" w:cs="Arial"/>
          <w:b/>
          <w:b/>
          <w:szCs w:val="21"/>
        </w:rPr>
      </w:pPr>
      <w:r>
        <w:rPr>
          <w:rFonts w:cs="Arial" w:ascii="宋体" w:hAnsi="宋体"/>
          <w:b/>
          <w:szCs w:val="21"/>
        </w:rPr>
      </w:r>
    </w:p>
    <w:p>
      <w:pPr>
        <w:pStyle w:val="Normal"/>
        <w:snapToGrid w:val="false"/>
        <w:spacing w:lineRule="auto" w:line="360"/>
        <w:ind w:firstLine="420"/>
        <w:jc w:val="right"/>
        <w:rPr>
          <w:rFonts w:ascii="宋体" w:hAnsi="宋体" w:cs="Arial"/>
          <w:b/>
          <w:b/>
          <w:szCs w:val="21"/>
        </w:rPr>
      </w:pPr>
      <w:r>
        <w:rPr>
          <w:rFonts w:cs="Arial" w:ascii="宋体" w:hAnsi="宋体"/>
          <w:b/>
          <w:szCs w:val="21"/>
        </w:rPr>
        <w:drawing>
          <wp:anchor behindDoc="0" distT="0" distB="0" distL="0" distR="114300" simplePos="0" locked="0" layoutInCell="1" allowOverlap="1" relativeHeight="11">
            <wp:simplePos x="0" y="0"/>
            <wp:positionH relativeFrom="margin">
              <wp:align>left</wp:align>
            </wp:positionH>
            <wp:positionV relativeFrom="paragraph">
              <wp:posOffset>263525</wp:posOffset>
            </wp:positionV>
            <wp:extent cx="1304925" cy="1666240"/>
            <wp:effectExtent l="0" t="0" r="0" b="0"/>
            <wp:wrapTight wrapText="bothSides">
              <wp:wrapPolygon edited="0">
                <wp:start x="-109" y="0"/>
                <wp:lineTo x="-109" y="21044"/>
                <wp:lineTo x="21048" y="21044"/>
                <wp:lineTo x="21048" y="0"/>
                <wp:lineTo x="-109" y="0"/>
              </wp:wrapPolygon>
            </wp:wrapTight>
            <wp:docPr id="16" name="图片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
                    <pic:cNvPicPr>
                      <a:picLocks noChangeAspect="1" noChangeArrowheads="1"/>
                    </pic:cNvPicPr>
                  </pic:nvPicPr>
                  <pic:blipFill>
                    <a:blip r:embed="rId14"/>
                    <a:stretch>
                      <a:fillRect/>
                    </a:stretch>
                  </pic:blipFill>
                  <pic:spPr bwMode="auto">
                    <a:xfrm>
                      <a:off x="0" y="0"/>
                      <a:ext cx="1304925" cy="1666240"/>
                    </a:xfrm>
                    <a:prstGeom prst="rect">
                      <a:avLst/>
                    </a:prstGeom>
                  </pic:spPr>
                </pic:pic>
              </a:graphicData>
            </a:graphic>
          </wp:anchor>
        </w:drawing>
      </w:r>
    </w:p>
    <w:p>
      <w:pPr>
        <w:pStyle w:val="Normal"/>
        <w:snapToGrid w:val="false"/>
        <w:spacing w:lineRule="auto" w:line="360"/>
        <w:ind w:firstLine="420"/>
        <w:jc w:val="left"/>
        <w:rPr>
          <w:szCs w:val="21"/>
        </w:rPr>
      </w:pPr>
      <w:r>
        <w:rPr>
          <w:szCs w:val="21"/>
        </w:rPr>
        <w:t>2017</w:t>
      </w:r>
      <w:r>
        <w:rPr>
          <w:szCs w:val="21"/>
        </w:rPr>
        <w:t>年领导决定让我分管人力资源工作。这对于一个搞质量出身的业务人员来讲，确实有很大挑战。幸好人大商学院第</w:t>
      </w:r>
      <w:r>
        <w:rPr>
          <w:szCs w:val="21"/>
        </w:rPr>
        <w:t>18</w:t>
      </w:r>
      <w:r>
        <w:rPr>
          <w:szCs w:val="21"/>
        </w:rPr>
        <w:t>期</w:t>
      </w:r>
      <w:r>
        <w:rPr>
          <w:szCs w:val="21"/>
        </w:rPr>
        <w:t>CHO</w:t>
      </w:r>
      <w:r>
        <w:rPr>
          <w:szCs w:val="21"/>
        </w:rPr>
        <w:t>班于</w:t>
      </w:r>
      <w:r>
        <w:rPr>
          <w:szCs w:val="21"/>
        </w:rPr>
        <w:t>2018</w:t>
      </w:r>
      <w:r>
        <w:rPr>
          <w:szCs w:val="21"/>
        </w:rPr>
        <w:t>年开班，人力的同事们为了让我这个外行迅速的进入角色，帮我报了这个班，这确实是个正确及时的决定。上课的老师们可谓都是大师级的人物，不一样的视角，不一样的高度。</w:t>
      </w:r>
      <w:r>
        <w:rPr>
          <w:szCs w:val="21"/>
        </w:rPr>
        <w:t>2018</w:t>
      </w:r>
      <w:r>
        <w:rPr>
          <w:szCs w:val="21"/>
        </w:rPr>
        <w:t>年我是伴随着老师们的讲解，结合工作的实践来开展人力资源工作的。收获颇丰，不虚此行。希望人大这个培训班越办越好，能够帮助到更多人。</w:t>
      </w:r>
    </w:p>
    <w:p>
      <w:pPr>
        <w:pStyle w:val="Normal"/>
        <w:snapToGrid w:val="false"/>
        <w:spacing w:lineRule="auto" w:line="360"/>
        <w:ind w:firstLine="420"/>
        <w:jc w:val="right"/>
        <w:rPr>
          <w:rFonts w:ascii="宋体" w:hAnsi="宋体" w:cs="Arial"/>
          <w:b/>
          <w:b/>
          <w:szCs w:val="21"/>
        </w:rPr>
      </w:pPr>
      <w:r>
        <w:rPr>
          <w:rFonts w:ascii="宋体" w:hAnsi="宋体" w:cs="Arial"/>
          <w:b/>
          <w:szCs w:val="21"/>
        </w:rPr>
        <w:t>杨学光  北京汽车股份有限公司副总裁</w:t>
      </w:r>
    </w:p>
    <w:p>
      <w:pPr>
        <w:pStyle w:val="Normal"/>
        <w:snapToGrid w:val="false"/>
        <w:spacing w:lineRule="auto" w:line="360"/>
        <w:ind w:firstLine="420"/>
        <w:jc w:val="right"/>
        <w:rPr>
          <w:rFonts w:ascii="宋体" w:hAnsi="宋体" w:cs="Arial"/>
          <w:b/>
          <w:b/>
          <w:szCs w:val="21"/>
        </w:rPr>
      </w:pPr>
      <w:r>
        <w:rPr>
          <w:rFonts w:cs="Arial" w:ascii="宋体" w:hAnsi="宋体"/>
          <w:b/>
          <w:szCs w:val="21"/>
        </w:rPr>
      </w:r>
    </w:p>
    <w:p>
      <w:pPr>
        <w:pStyle w:val="Normal"/>
        <w:snapToGrid w:val="false"/>
        <w:spacing w:lineRule="auto" w:line="360"/>
        <w:ind w:firstLine="420"/>
        <w:rPr>
          <w:rFonts w:ascii="宋体" w:hAnsi="宋体" w:cs="Arial"/>
          <w:szCs w:val="21"/>
        </w:rPr>
      </w:pPr>
      <w:r>
        <w:drawing>
          <wp:anchor behindDoc="0" distT="0" distB="0" distL="0" distR="121920" simplePos="0" locked="0" layoutInCell="1" allowOverlap="1" relativeHeight="4">
            <wp:simplePos x="0" y="0"/>
            <wp:positionH relativeFrom="margin">
              <wp:align>left</wp:align>
            </wp:positionH>
            <wp:positionV relativeFrom="paragraph">
              <wp:posOffset>22860</wp:posOffset>
            </wp:positionV>
            <wp:extent cx="1287780" cy="1341120"/>
            <wp:effectExtent l="0" t="0" r="0" b="0"/>
            <wp:wrapSquare wrapText="bothSides"/>
            <wp:docPr id="17"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
                    <pic:cNvPicPr>
                      <a:picLocks noChangeAspect="1" noChangeArrowheads="1"/>
                    </pic:cNvPicPr>
                  </pic:nvPicPr>
                  <pic:blipFill>
                    <a:blip r:embed="rId15"/>
                    <a:stretch>
                      <a:fillRect/>
                    </a:stretch>
                  </pic:blipFill>
                  <pic:spPr bwMode="auto">
                    <a:xfrm>
                      <a:off x="0" y="0"/>
                      <a:ext cx="1287780" cy="1341120"/>
                    </a:xfrm>
                    <a:prstGeom prst="rect">
                      <a:avLst/>
                    </a:prstGeom>
                  </pic:spPr>
                </pic:pic>
              </a:graphicData>
            </a:graphic>
          </wp:anchor>
        </w:drawing>
      </w:r>
      <w:r>
        <w:rPr>
          <w:szCs w:val="21"/>
        </w:rPr>
        <w:t>在</w:t>
      </w:r>
      <w:r>
        <w:rPr>
          <w:szCs w:val="21"/>
        </w:rPr>
        <w:t>人大商学院的学习有这么几个特点：一个是在中西方商学教育的平衡上做的非常好，既有西方商学教育最新的理论、最前沿的资讯，又有很接地气的中国本土大量最新的实践和案例；另一个结合非常好的就是既有人大自身有实战经验的知名教授的讲授，同时也有很多来自于知名企业的人力资源高管走进课堂现身说法。对我今后人力资源管理工作，确实有了更加全面的认识，也更加有信心了</w:t>
      </w:r>
      <w:r>
        <w:rPr>
          <w:rFonts w:ascii="宋体" w:hAnsi="宋体" w:cs="宋体" w:eastAsia="宋体"/>
          <w:szCs w:val="21"/>
        </w:rPr>
        <w:t>。</w:t>
      </w:r>
    </w:p>
    <w:p>
      <w:pPr>
        <w:pStyle w:val="Normal"/>
        <w:snapToGrid w:val="false"/>
        <w:spacing w:lineRule="auto" w:line="360"/>
        <w:jc w:val="right"/>
        <w:rPr>
          <w:rFonts w:ascii="宋体" w:hAnsi="宋体" w:cs="Arial"/>
          <w:b/>
          <w:b/>
          <w:szCs w:val="21"/>
        </w:rPr>
      </w:pPr>
      <w:r>
        <w:rPr>
          <w:rFonts w:ascii="Helvetica" w:hAnsi="Helvetica" w:cs="Helvetica"/>
          <w:color w:val="000000"/>
          <w:szCs w:val="21"/>
        </w:rPr>
        <w:t xml:space="preserve">                             </w:t>
      </w:r>
      <w:r>
        <w:rPr>
          <w:b/>
          <w:bCs/>
          <w:szCs w:val="21"/>
        </w:rPr>
        <w:t>陈长征 中国建筑材料集团南方水泥有限公司 执行副总裁</w:t>
      </w:r>
    </w:p>
    <w:p>
      <w:pPr>
        <w:pStyle w:val="Normal"/>
        <w:snapToGrid w:val="false"/>
        <w:spacing w:lineRule="auto" w:line="360"/>
        <w:rPr>
          <w:rFonts w:ascii="宋体" w:hAnsi="宋体" w:cs="Arial"/>
          <w:color w:val="000000"/>
          <w:szCs w:val="21"/>
        </w:rPr>
      </w:pPr>
      <w:r>
        <w:rPr>
          <w:rFonts w:cs="Arial" w:ascii="宋体" w:hAnsi="宋体"/>
          <w:color w:val="000000"/>
          <w:szCs w:val="21"/>
        </w:rPr>
        <w:drawing>
          <wp:anchor behindDoc="0" distT="0" distB="0" distL="0" distR="122555" simplePos="0" locked="0" layoutInCell="1" allowOverlap="1" relativeHeight="5">
            <wp:simplePos x="0" y="0"/>
            <wp:positionH relativeFrom="margin">
              <wp:align>left</wp:align>
            </wp:positionH>
            <wp:positionV relativeFrom="paragraph">
              <wp:posOffset>226060</wp:posOffset>
            </wp:positionV>
            <wp:extent cx="1325245" cy="1262380"/>
            <wp:effectExtent l="0" t="0" r="0" b="0"/>
            <wp:wrapSquare wrapText="bothSides"/>
            <wp:docPr id="18"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
                    <pic:cNvPicPr>
                      <a:picLocks noChangeAspect="1" noChangeArrowheads="1"/>
                    </pic:cNvPicPr>
                  </pic:nvPicPr>
                  <pic:blipFill>
                    <a:blip r:embed="rId16"/>
                    <a:stretch>
                      <a:fillRect/>
                    </a:stretch>
                  </pic:blipFill>
                  <pic:spPr bwMode="auto">
                    <a:xfrm>
                      <a:off x="0" y="0"/>
                      <a:ext cx="1325245" cy="1262380"/>
                    </a:xfrm>
                    <a:prstGeom prst="rect">
                      <a:avLst/>
                    </a:prstGeom>
                  </pic:spPr>
                </pic:pic>
              </a:graphicData>
            </a:graphic>
          </wp:anchor>
        </w:drawing>
      </w:r>
    </w:p>
    <w:p>
      <w:pPr>
        <w:pStyle w:val="Normal"/>
        <w:snapToGrid w:val="false"/>
        <w:spacing w:lineRule="auto" w:line="360"/>
        <w:ind w:firstLine="420"/>
        <w:rPr>
          <w:rFonts w:ascii="宋体" w:hAnsi="宋体" w:cs="Arial"/>
          <w:szCs w:val="21"/>
        </w:rPr>
      </w:pPr>
      <w:r>
        <w:rPr>
          <w:szCs w:val="21"/>
        </w:rPr>
        <w:t>人大商学院</w:t>
      </w:r>
      <w:r>
        <w:rPr>
          <w:szCs w:val="21"/>
        </w:rPr>
        <w:t>CHO</w:t>
      </w:r>
      <w:r>
        <w:rPr>
          <w:szCs w:val="21"/>
        </w:rPr>
        <w:t>项目通过国内外名师在理论、案例、研讨、标杆企业跨界参访等多维度的设计，从道法术三个层面帮助我们系统构建，给我带来非常多启发，同时也非常高兴结交了很多的国企民企外企</w:t>
      </w:r>
      <w:r>
        <w:rPr>
          <w:szCs w:val="21"/>
        </w:rPr>
        <w:t>HR</w:t>
      </w:r>
      <w:r>
        <w:rPr>
          <w:szCs w:val="21"/>
        </w:rPr>
        <w:t>圈中英才。非常感谢人大商学院带给我这样有价值的体验，希望这个课程可以帮助更多的同仁们学知、解惑、悟道</w:t>
      </w:r>
      <w:r>
        <w:rPr>
          <w:rFonts w:ascii="宋体" w:hAnsi="宋体" w:cs="宋体" w:eastAsia="宋体"/>
          <w:szCs w:val="21"/>
        </w:rPr>
        <w:t>友</w:t>
      </w:r>
      <w:r>
        <w:rPr>
          <w:rFonts w:ascii="宋体" w:hAnsi="宋体" w:cs="Arial"/>
          <w:szCs w:val="21"/>
        </w:rPr>
        <w:t>！</w:t>
      </w:r>
    </w:p>
    <w:p>
      <w:pPr>
        <w:pStyle w:val="Normal"/>
        <w:snapToGrid w:val="false"/>
        <w:spacing w:lineRule="auto" w:line="360"/>
        <w:jc w:val="right"/>
        <w:rPr>
          <w:rFonts w:ascii="宋体" w:hAnsi="宋体" w:cs="Arial"/>
          <w:b/>
          <w:b/>
          <w:szCs w:val="21"/>
        </w:rPr>
      </w:pPr>
      <w:r>
        <w:rPr>
          <w:rFonts w:ascii="Helvetica" w:hAnsi="Helvetica" w:cs="Helvetica"/>
          <w:color w:val="000000"/>
          <w:szCs w:val="21"/>
        </w:rPr>
        <w:t xml:space="preserve">                                    </w:t>
      </w:r>
      <w:r>
        <w:rPr>
          <w:rFonts w:ascii="宋体" w:hAnsi="宋体" w:cs="Arial"/>
          <w:b/>
          <w:szCs w:val="21"/>
        </w:rPr>
        <w:t xml:space="preserve">李琳 凤凰新媒体副总裁 </w:t>
      </w:r>
    </w:p>
    <w:p>
      <w:pPr>
        <w:pStyle w:val="Normal"/>
        <w:snapToGrid w:val="false"/>
        <w:spacing w:lineRule="auto" w:line="360"/>
        <w:rPr>
          <w:rFonts w:ascii="宋体" w:hAnsi="宋体" w:cs="Arial"/>
          <w:color w:val="000000"/>
          <w:szCs w:val="21"/>
        </w:rPr>
      </w:pPr>
      <w:r>
        <w:rPr>
          <w:rFonts w:cs="Arial" w:ascii="宋体" w:hAnsi="宋体"/>
          <w:color w:val="000000"/>
          <w:szCs w:val="21"/>
        </w:rPr>
      </w:r>
    </w:p>
    <w:p>
      <w:pPr>
        <w:pStyle w:val="Normal"/>
        <w:snapToGrid w:val="false"/>
        <w:spacing w:lineRule="auto" w:line="360"/>
        <w:rPr>
          <w:rFonts w:ascii="宋体" w:hAnsi="宋体"/>
          <w:b/>
          <w:b/>
          <w:color w:val="C00000"/>
          <w:sz w:val="24"/>
        </w:rPr>
      </w:pPr>
      <w:r>
        <w:rPr>
          <w:rFonts w:ascii="宋体" w:hAnsi="宋体"/>
          <w:b/>
          <w:color w:val="C00000"/>
          <w:sz w:val="24"/>
        </w:rPr>
        <w:drawing>
          <wp:anchor behindDoc="0" distT="0" distB="3810" distL="0" distR="121920" simplePos="0" locked="0" layoutInCell="1" allowOverlap="1" relativeHeight="6">
            <wp:simplePos x="0" y="0"/>
            <wp:positionH relativeFrom="margin">
              <wp:align>left</wp:align>
            </wp:positionH>
            <wp:positionV relativeFrom="paragraph">
              <wp:posOffset>124460</wp:posOffset>
            </wp:positionV>
            <wp:extent cx="1211580" cy="1348740"/>
            <wp:effectExtent l="0" t="0" r="0" b="0"/>
            <wp:wrapSquare wrapText="bothSides"/>
            <wp:docPr id="19" name="图片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
                    <pic:cNvPicPr>
                      <a:picLocks noChangeAspect="1" noChangeArrowheads="1"/>
                    </pic:cNvPicPr>
                  </pic:nvPicPr>
                  <pic:blipFill>
                    <a:blip r:embed="rId17"/>
                    <a:stretch>
                      <a:fillRect/>
                    </a:stretch>
                  </pic:blipFill>
                  <pic:spPr bwMode="auto">
                    <a:xfrm>
                      <a:off x="0" y="0"/>
                      <a:ext cx="1211580" cy="1348740"/>
                    </a:xfrm>
                    <a:prstGeom prst="rect">
                      <a:avLst/>
                    </a:prstGeom>
                  </pic:spPr>
                </pic:pic>
              </a:graphicData>
            </a:graphic>
          </wp:anchor>
        </w:drawing>
      </w:r>
    </w:p>
    <w:p>
      <w:pPr>
        <w:pStyle w:val="Normal"/>
        <w:snapToGrid w:val="false"/>
        <w:spacing w:lineRule="auto" w:line="360"/>
        <w:ind w:firstLine="420"/>
        <w:rPr>
          <w:rFonts w:ascii="宋体" w:hAnsi="宋体" w:cs="宋体"/>
          <w:kern w:val="0"/>
          <w:szCs w:val="21"/>
        </w:rPr>
      </w:pPr>
      <w:r>
        <w:rPr>
          <w:rFonts w:ascii="宋体" w:hAnsi="宋体" w:cs="宋体"/>
          <w:kern w:val="0"/>
          <w:szCs w:val="21"/>
        </w:rPr>
        <w:t xml:space="preserve">在人大商学院学习期间，我在老师们的教导下带领团队完成了“四维薪酬体系”，取得了非常好的成效。我要特别感谢人大商学院，是人大商学院的平台让我们在学习中思考，在思考中实践，在实践中提升。 </w:t>
      </w:r>
    </w:p>
    <w:p>
      <w:pPr>
        <w:pStyle w:val="Normal"/>
        <w:snapToGrid w:val="false"/>
        <w:spacing w:lineRule="auto" w:line="360"/>
        <w:ind w:firstLine="618"/>
        <w:jc w:val="right"/>
        <w:rPr>
          <w:rFonts w:ascii="宋体" w:hAnsi="宋体" w:cs="宋体"/>
          <w:b/>
          <w:b/>
          <w:kern w:val="0"/>
          <w:szCs w:val="21"/>
        </w:rPr>
      </w:pPr>
      <w:r>
        <w:rPr>
          <w:rFonts w:ascii="宋体" w:hAnsi="宋体" w:cs="宋体"/>
          <w:b/>
          <w:kern w:val="0"/>
          <w:szCs w:val="21"/>
        </w:rPr>
        <w:t xml:space="preserve">江义娟 中国联通集团 人力资源部副总经理  </w:t>
      </w:r>
    </w:p>
    <w:p>
      <w:pPr>
        <w:pStyle w:val="Normal"/>
        <w:snapToGrid w:val="false"/>
        <w:spacing w:lineRule="auto" w:line="360"/>
        <w:ind w:firstLine="618"/>
        <w:jc w:val="right"/>
        <w:rPr>
          <w:rFonts w:ascii="宋体" w:hAnsi="宋体" w:cs="宋体"/>
          <w:b/>
          <w:b/>
          <w:kern w:val="0"/>
          <w:szCs w:val="21"/>
        </w:rPr>
      </w:pPr>
      <w:r>
        <w:rPr>
          <w:rFonts w:cs="宋体" w:ascii="宋体" w:hAnsi="宋体"/>
          <w:b/>
          <w:kern w:val="0"/>
          <w:szCs w:val="21"/>
        </w:rPr>
      </w:r>
    </w:p>
    <w:p>
      <w:pPr>
        <w:pStyle w:val="Normal"/>
        <w:snapToGrid w:val="false"/>
        <w:spacing w:lineRule="auto" w:line="360"/>
        <w:ind w:firstLine="618"/>
        <w:jc w:val="right"/>
        <w:rPr>
          <w:rFonts w:ascii="宋体" w:hAnsi="宋体" w:cs="宋体"/>
          <w:b/>
          <w:b/>
          <w:kern w:val="0"/>
          <w:szCs w:val="21"/>
        </w:rPr>
      </w:pPr>
      <w:r>
        <w:rPr>
          <w:rFonts w:cs="宋体" w:ascii="宋体" w:hAnsi="宋体"/>
          <w:b/>
          <w:kern w:val="0"/>
          <w:szCs w:val="21"/>
        </w:rPr>
      </w:r>
    </w:p>
    <w:p>
      <w:pPr>
        <w:pStyle w:val="Normal"/>
        <w:snapToGrid w:val="false"/>
        <w:spacing w:lineRule="auto" w:line="360"/>
        <w:ind w:firstLine="420"/>
        <w:jc w:val="left"/>
        <w:rPr>
          <w:rFonts w:ascii="宋体" w:hAnsi="宋体" w:cs="宋体"/>
          <w:b/>
          <w:b/>
          <w:kern w:val="0"/>
          <w:szCs w:val="21"/>
        </w:rPr>
      </w:pPr>
      <w:r>
        <w:drawing>
          <wp:anchor behindDoc="0" distT="0" distB="0" distL="0" distR="114300" simplePos="0" locked="0" layoutInCell="1" allowOverlap="1" relativeHeight="8">
            <wp:simplePos x="0" y="0"/>
            <wp:positionH relativeFrom="margin">
              <wp:align>left</wp:align>
            </wp:positionH>
            <wp:positionV relativeFrom="paragraph">
              <wp:posOffset>8255</wp:posOffset>
            </wp:positionV>
            <wp:extent cx="1228725" cy="1698625"/>
            <wp:effectExtent l="0" t="0" r="0" b="0"/>
            <wp:wrapTight wrapText="bothSides">
              <wp:wrapPolygon edited="0">
                <wp:start x="-107" y="0"/>
                <wp:lineTo x="-107" y="21183"/>
                <wp:lineTo x="21059" y="21183"/>
                <wp:lineTo x="21059" y="0"/>
                <wp:lineTo x="-107" y="0"/>
              </wp:wrapPolygon>
            </wp:wrapTight>
            <wp:docPr id="20"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
                    <pic:cNvPicPr>
                      <a:picLocks noChangeAspect="1" noChangeArrowheads="1"/>
                    </pic:cNvPicPr>
                  </pic:nvPicPr>
                  <pic:blipFill>
                    <a:blip r:embed="rId18"/>
                    <a:stretch>
                      <a:fillRect/>
                    </a:stretch>
                  </pic:blipFill>
                  <pic:spPr bwMode="auto">
                    <a:xfrm>
                      <a:off x="0" y="0"/>
                      <a:ext cx="1228725" cy="1698625"/>
                    </a:xfrm>
                    <a:prstGeom prst="rect">
                      <a:avLst/>
                    </a:prstGeom>
                  </pic:spPr>
                </pic:pic>
              </a:graphicData>
            </a:graphic>
          </wp:anchor>
        </w:drawing>
      </w:r>
      <w:r>
        <w:rPr>
          <w:szCs w:val="21"/>
        </w:rPr>
        <w:t>人</w:t>
      </w:r>
      <w:r>
        <w:rPr>
          <w:szCs w:val="21"/>
        </w:rPr>
        <w:t>大商学院</w:t>
      </w:r>
      <w:r>
        <w:rPr>
          <w:szCs w:val="21"/>
        </w:rPr>
        <w:t>CHO</w:t>
      </w:r>
      <w:r>
        <w:rPr>
          <w:szCs w:val="21"/>
        </w:rPr>
        <w:t>项目让我从多年的</w:t>
      </w:r>
      <w:r>
        <w:rPr>
          <w:szCs w:val="21"/>
        </w:rPr>
        <w:t>HR</w:t>
      </w:r>
      <w:r>
        <w:rPr>
          <w:szCs w:val="21"/>
        </w:rPr>
        <w:t>实务中跳出来，再次系统地学习和梳理人力资源管理、企业管理深层的理论和最佳实践。教授们都非常资深，且有政府、企业实战项目经验，授课内容接地气、有趣，发人深省！班上的同学们也特别优秀，来自各行各业，都非常好学上进，充满活力和好奇心。我除了能从老师、课本、沙盘、企业交流等学习收获外，从同学们那里也学到工作生活的感悟和可借鉴的做法，结交了新朋友，让工作生活顿时立体并丰富多彩起来！</w:t>
      </w:r>
    </w:p>
    <w:p>
      <w:pPr>
        <w:pStyle w:val="Normal"/>
        <w:snapToGrid w:val="false"/>
        <w:spacing w:lineRule="auto" w:line="360"/>
        <w:ind w:firstLine="618"/>
        <w:jc w:val="right"/>
        <w:rPr>
          <w:rFonts w:ascii="宋体" w:hAnsi="宋体" w:cs="宋体"/>
          <w:b/>
          <w:b/>
          <w:kern w:val="0"/>
          <w:szCs w:val="21"/>
        </w:rPr>
      </w:pPr>
      <w:r>
        <w:rPr>
          <w:rFonts w:ascii="宋体" w:hAnsi="宋体" w:cs="宋体"/>
          <w:b/>
          <w:kern w:val="0"/>
          <w:szCs w:val="21"/>
        </w:rPr>
        <w:t>吴彦  腾讯技术工程事业群人力资源总监</w:t>
      </w:r>
    </w:p>
    <w:p>
      <w:pPr>
        <w:pStyle w:val="Normal"/>
        <w:snapToGrid w:val="false"/>
        <w:spacing w:lineRule="auto" w:line="360"/>
        <w:ind w:firstLine="617"/>
        <w:jc w:val="right"/>
        <w:rPr>
          <w:rFonts w:ascii="宋体" w:hAnsi="宋体" w:cs="宋体"/>
          <w:b/>
          <w:b/>
          <w:kern w:val="0"/>
          <w:szCs w:val="21"/>
        </w:rPr>
      </w:pPr>
      <w:r>
        <w:rPr>
          <w:rFonts w:cs="宋体" w:ascii="宋体" w:hAnsi="宋体"/>
          <w:b/>
          <w:kern w:val="0"/>
          <w:szCs w:val="21"/>
        </w:rPr>
        <w:drawing>
          <wp:anchor behindDoc="0" distT="0" distB="0" distL="0" distR="114300" simplePos="0" locked="0" layoutInCell="1" allowOverlap="1" relativeHeight="9">
            <wp:simplePos x="0" y="0"/>
            <wp:positionH relativeFrom="margin">
              <wp:align>left</wp:align>
            </wp:positionH>
            <wp:positionV relativeFrom="paragraph">
              <wp:posOffset>241300</wp:posOffset>
            </wp:positionV>
            <wp:extent cx="1238250" cy="1755140"/>
            <wp:effectExtent l="0" t="0" r="0" b="0"/>
            <wp:wrapTight wrapText="bothSides">
              <wp:wrapPolygon edited="0">
                <wp:start x="-79" y="0"/>
                <wp:lineTo x="-79" y="21257"/>
                <wp:lineTo x="21264" y="21257"/>
                <wp:lineTo x="21264" y="0"/>
                <wp:lineTo x="-79" y="0"/>
              </wp:wrapPolygon>
            </wp:wrapTight>
            <wp:docPr id="21"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
                    <pic:cNvPicPr>
                      <a:picLocks noChangeAspect="1" noChangeArrowheads="1"/>
                    </pic:cNvPicPr>
                  </pic:nvPicPr>
                  <pic:blipFill>
                    <a:blip r:embed="rId19"/>
                    <a:stretch>
                      <a:fillRect/>
                    </a:stretch>
                  </pic:blipFill>
                  <pic:spPr bwMode="auto">
                    <a:xfrm>
                      <a:off x="0" y="0"/>
                      <a:ext cx="1238250" cy="1755140"/>
                    </a:xfrm>
                    <a:prstGeom prst="rect">
                      <a:avLst/>
                    </a:prstGeom>
                  </pic:spPr>
                </pic:pic>
              </a:graphicData>
            </a:graphic>
          </wp:anchor>
        </w:drawing>
      </w:r>
    </w:p>
    <w:p>
      <w:pPr>
        <w:pStyle w:val="Normal"/>
        <w:snapToGrid w:val="false"/>
        <w:spacing w:lineRule="auto" w:line="360"/>
        <w:ind w:firstLine="420"/>
        <w:jc w:val="left"/>
        <w:rPr>
          <w:rFonts w:ascii="宋体" w:hAnsi="宋体" w:cs="宋体"/>
          <w:b/>
          <w:b/>
          <w:kern w:val="0"/>
          <w:szCs w:val="21"/>
        </w:rPr>
      </w:pPr>
      <w:r>
        <w:rPr>
          <w:szCs w:val="21"/>
        </w:rPr>
        <w:t>人大商学院</w:t>
      </w:r>
      <w:r>
        <w:rPr>
          <w:szCs w:val="21"/>
        </w:rPr>
        <w:t>CHO</w:t>
      </w:r>
      <w:r>
        <w:rPr>
          <w:szCs w:val="21"/>
        </w:rPr>
        <w:t>项目对人力资源高管群体在学习发展提升诉求的定位十分精准，整体课程设置从破冰融合开始，循序渐进的提升学员战略高度，逻辑清晰，严谨全面；授课教授均来自商学院本部，无论是其作为大咖级教授的专业敬业，还是满堂挥洒的才华和幽默，都给我们留下很深的印象！除去课程，项目组用心设置的企业交流，高管对话等活动助力学员开拓了视野，促进了深度思考。培训从业</w:t>
      </w:r>
      <w:r>
        <w:rPr>
          <w:szCs w:val="21"/>
        </w:rPr>
        <w:t>20</w:t>
      </w:r>
      <w:r>
        <w:rPr>
          <w:szCs w:val="21"/>
        </w:rPr>
        <w:t>年，这是一个我发自内心乐于推荐的好项目！</w:t>
      </w:r>
    </w:p>
    <w:p>
      <w:pPr>
        <w:pStyle w:val="Normal"/>
        <w:snapToGrid w:val="false"/>
        <w:spacing w:lineRule="auto" w:line="360"/>
        <w:ind w:firstLine="618"/>
        <w:jc w:val="right"/>
        <w:rPr>
          <w:rFonts w:ascii="宋体" w:hAnsi="宋体" w:cs="宋体"/>
          <w:b/>
          <w:b/>
          <w:kern w:val="0"/>
          <w:szCs w:val="21"/>
        </w:rPr>
      </w:pPr>
      <w:r>
        <w:rPr>
          <w:b/>
          <w:bCs/>
          <w:szCs w:val="21"/>
        </w:rPr>
        <w:t xml:space="preserve">  </w:t>
      </w:r>
      <w:r>
        <w:rPr>
          <w:rFonts w:ascii="宋体" w:hAnsi="宋体" w:cs="宋体"/>
          <w:b/>
          <w:kern w:val="0"/>
          <w:szCs w:val="21"/>
        </w:rPr>
        <w:t>尹薇  美的集团 美的学院院长</w:t>
      </w:r>
    </w:p>
    <w:p>
      <w:pPr>
        <w:pStyle w:val="Normal"/>
        <w:snapToGrid w:val="false"/>
        <w:spacing w:lineRule="auto" w:line="360"/>
        <w:ind w:firstLine="617"/>
        <w:jc w:val="right"/>
        <w:rPr>
          <w:rFonts w:ascii="宋体" w:hAnsi="宋体" w:cs="宋体"/>
          <w:b/>
          <w:b/>
          <w:kern w:val="0"/>
          <w:szCs w:val="21"/>
        </w:rPr>
      </w:pPr>
      <w:r>
        <w:rPr>
          <w:rFonts w:cs="宋体" w:ascii="宋体" w:hAnsi="宋体"/>
          <w:b/>
          <w:kern w:val="0"/>
          <w:szCs w:val="21"/>
        </w:rPr>
        <w:drawing>
          <wp:anchor behindDoc="0" distT="0" distB="6350" distL="0" distR="114300" simplePos="0" locked="0" layoutInCell="1" allowOverlap="1" relativeHeight="10">
            <wp:simplePos x="0" y="0"/>
            <wp:positionH relativeFrom="margin">
              <wp:align>left</wp:align>
            </wp:positionH>
            <wp:positionV relativeFrom="paragraph">
              <wp:posOffset>195580</wp:posOffset>
            </wp:positionV>
            <wp:extent cx="1247775" cy="1651000"/>
            <wp:effectExtent l="0" t="0" r="0" b="0"/>
            <wp:wrapTight wrapText="bothSides">
              <wp:wrapPolygon edited="0">
                <wp:start x="-77" y="0"/>
                <wp:lineTo x="-77" y="21360"/>
                <wp:lineTo x="21097" y="21360"/>
                <wp:lineTo x="21097" y="0"/>
                <wp:lineTo x="-77" y="0"/>
              </wp:wrapPolygon>
            </wp:wrapTight>
            <wp:docPr id="22"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
                    <pic:cNvPicPr>
                      <a:picLocks noChangeAspect="1" noChangeArrowheads="1"/>
                    </pic:cNvPicPr>
                  </pic:nvPicPr>
                  <pic:blipFill>
                    <a:blip r:embed="rId20"/>
                    <a:stretch>
                      <a:fillRect/>
                    </a:stretch>
                  </pic:blipFill>
                  <pic:spPr bwMode="auto">
                    <a:xfrm>
                      <a:off x="0" y="0"/>
                      <a:ext cx="1247775" cy="1651000"/>
                    </a:xfrm>
                    <a:prstGeom prst="rect">
                      <a:avLst/>
                    </a:prstGeom>
                  </pic:spPr>
                </pic:pic>
              </a:graphicData>
            </a:graphic>
          </wp:anchor>
        </w:drawing>
      </w:r>
    </w:p>
    <w:p>
      <w:pPr>
        <w:pStyle w:val="Normal"/>
        <w:snapToGrid w:val="false"/>
        <w:spacing w:lineRule="auto" w:line="360"/>
        <w:ind w:firstLine="420"/>
        <w:jc w:val="left"/>
        <w:rPr>
          <w:szCs w:val="21"/>
        </w:rPr>
      </w:pPr>
      <w:r>
        <w:rPr>
          <w:szCs w:val="21"/>
        </w:rPr>
        <w:t>在这个“万物互联”的时代，人大商学院为我们搭建了一个非常有价值的连接平台。它让我与先进理论链接，与最佳实践链接，与宝贵人脉链接。</w:t>
      </w:r>
    </w:p>
    <w:p>
      <w:pPr>
        <w:pStyle w:val="Normal"/>
        <w:snapToGrid w:val="false"/>
        <w:spacing w:lineRule="auto" w:line="360"/>
        <w:ind w:firstLine="420"/>
        <w:jc w:val="left"/>
        <w:rPr>
          <w:rFonts w:ascii="宋体" w:hAnsi="宋体" w:cs="宋体"/>
          <w:b/>
          <w:b/>
          <w:kern w:val="0"/>
          <w:szCs w:val="21"/>
        </w:rPr>
      </w:pPr>
      <w:r>
        <w:rPr>
          <w:szCs w:val="21"/>
        </w:rPr>
        <w:t>在这个“时间是稀缺资源”的时代，每一次的听课，每一次的交流，每一次的总结，所有的时间，都是值得的</w:t>
      </w:r>
      <w:r>
        <w:rPr>
          <w:rFonts w:ascii="宋体" w:hAnsi="宋体" w:cs="宋体" w:eastAsia="宋体"/>
          <w:szCs w:val="21"/>
        </w:rPr>
        <w:t>。</w:t>
      </w:r>
    </w:p>
    <w:p>
      <w:pPr>
        <w:pStyle w:val="Normal"/>
        <w:snapToGrid w:val="false"/>
        <w:spacing w:lineRule="auto" w:line="360"/>
        <w:ind w:firstLine="618"/>
        <w:jc w:val="right"/>
        <w:rPr>
          <w:rFonts w:ascii="宋体" w:hAnsi="宋体" w:cs="宋体"/>
          <w:b/>
          <w:b/>
          <w:kern w:val="0"/>
          <w:szCs w:val="21"/>
        </w:rPr>
      </w:pPr>
      <w:r>
        <w:rPr>
          <w:rFonts w:ascii="宋体" w:hAnsi="宋体" w:cs="宋体"/>
          <w:b/>
          <w:kern w:val="0"/>
          <w:szCs w:val="21"/>
        </w:rPr>
        <w:t>赵蕾  汤臣倍健股份有限公司人力行政总监</w:t>
      </w:r>
    </w:p>
    <w:p>
      <w:pPr>
        <w:pStyle w:val="Normal"/>
        <w:snapToGrid w:val="false"/>
        <w:spacing w:lineRule="auto" w:line="360"/>
        <w:ind w:firstLine="618"/>
        <w:jc w:val="right"/>
        <w:rPr>
          <w:rFonts w:ascii="宋体" w:hAnsi="宋体" w:cs="宋体"/>
          <w:b/>
          <w:b/>
          <w:kern w:val="0"/>
          <w:szCs w:val="21"/>
        </w:rPr>
      </w:pPr>
      <w:r>
        <w:rPr>
          <w:rFonts w:cs="宋体" w:ascii="宋体" w:hAnsi="宋体"/>
          <w:b/>
          <w:kern w:val="0"/>
          <w:szCs w:val="21"/>
        </w:rPr>
      </w:r>
    </w:p>
    <w:p>
      <w:pPr>
        <w:pStyle w:val="Normal"/>
        <w:snapToGrid w:val="false"/>
        <w:spacing w:lineRule="auto" w:line="360"/>
        <w:rPr>
          <w:rFonts w:ascii="微软雅黑" w:hAnsi="微软雅黑" w:eastAsia="微软雅黑"/>
          <w:b/>
          <w:b/>
          <w:bCs/>
          <w:color w:val="365F91"/>
          <w:sz w:val="24"/>
        </w:rPr>
      </w:pPr>
      <w:r>
        <w:rPr>
          <w:rFonts w:ascii="微软雅黑" w:hAnsi="微软雅黑" w:eastAsia="微软雅黑"/>
          <w:b/>
          <w:bCs/>
          <w:color w:val="365F91"/>
          <w:sz w:val="24"/>
        </w:rPr>
        <w:t xml:space="preserve">部分学员名单 </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巴奴毛肚火锅                                                     创始人、董事长</w:t>
      </w:r>
    </w:p>
    <w:p>
      <w:pPr>
        <w:pStyle w:val="EDP"/>
        <w:snapToGrid w:val="false"/>
        <w:rPr/>
      </w:pPr>
      <w:hyperlink r:id="rId21" w:tgtFrame="_blank">
        <w:r>
          <w:rPr>
            <w:rStyle w:val="ListLabel1"/>
            <w:rFonts w:ascii="宋体" w:hAnsi="宋体" w:eastAsia="宋体"/>
            <w:b w:val="false"/>
            <w:color w:val="auto"/>
            <w:sz w:val="21"/>
            <w:szCs w:val="21"/>
          </w:rPr>
          <w:t>中程租赁有限公司</w:t>
        </w:r>
      </w:hyperlink>
      <w:r>
        <w:rPr>
          <w:rFonts w:ascii="宋体" w:hAnsi="宋体" w:eastAsia="宋体"/>
          <w:b w:val="false"/>
          <w:color w:val="auto"/>
          <w:sz w:val="21"/>
          <w:szCs w:val="21"/>
        </w:rPr>
        <w:t xml:space="preserve">                                                         董事长</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中信证券公司                                                         执行总经理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安徽古井房地产集团                                                       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北京京城机电控股有限责任公司                                             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西贝餐饮集团                                                               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新希望集团                                                               副总裁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正威国际集团有限公司                                                     副总裁中化集团金融事业部                                                       副总裁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凤凰新媒体                                                               副总裁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中国大地保险                                                           副总经理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长安福特公司                                               人力资源暨行政副总裁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华为技术有限公司                                               人力资源部副总裁</w:t>
      </w:r>
    </w:p>
    <w:p>
      <w:pPr>
        <w:pStyle w:val="EDP"/>
        <w:snapToGrid w:val="false"/>
        <w:rPr>
          <w:rFonts w:ascii="宋体" w:hAnsi="宋体" w:eastAsia="宋体"/>
          <w:b w:val="false"/>
          <w:b w:val="false"/>
          <w:color w:val="auto"/>
          <w:sz w:val="21"/>
          <w:szCs w:val="21"/>
        </w:rPr>
      </w:pPr>
      <w:r>
        <w:rPr>
          <w:rFonts w:eastAsia="宋体" w:ascii="宋体" w:hAnsi="宋体"/>
          <w:b w:val="false"/>
          <w:color w:val="auto"/>
          <w:sz w:val="21"/>
          <w:szCs w:val="21"/>
        </w:rPr>
        <w:t>TCL</w:t>
      </w:r>
      <w:r>
        <w:rPr>
          <w:rFonts w:ascii="宋体" w:hAnsi="宋体" w:eastAsia="宋体"/>
          <w:b w:val="false"/>
          <w:color w:val="auto"/>
          <w:sz w:val="21"/>
          <w:szCs w:val="21"/>
        </w:rPr>
        <w:t>集团股份有限公司                                                 高级副总裁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好未来教育集团                                                   人力资源副总裁</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小罐茶                                                               运营总经理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重庆三峡水利电力（集团）股份有限公司                             人力资源总经理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中国旅游集团公司                                                 人力资源总经理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中国中钢集团                                                 人力资源部副总经理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中国联通                                                     人力资源部副总经理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中国太平洋财产保险股份有限公司                                 人力资源副总经理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 xml:space="preserve">海尔集团                                                    </w:t>
      </w:r>
      <w:r>
        <w:rPr>
          <w:rFonts w:eastAsia="宋体" w:ascii="宋体" w:hAnsi="宋体"/>
          <w:b w:val="false"/>
          <w:color w:val="auto"/>
          <w:sz w:val="21"/>
          <w:szCs w:val="21"/>
        </w:rPr>
        <w:t xml:space="preserve">HR </w:t>
      </w:r>
      <w:r>
        <w:rPr>
          <w:rFonts w:ascii="宋体" w:hAnsi="宋体" w:eastAsia="宋体"/>
          <w:b w:val="false"/>
          <w:color w:val="auto"/>
          <w:sz w:val="21"/>
          <w:szCs w:val="21"/>
        </w:rPr>
        <w:t>专业资源平台总监</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 xml:space="preserve">腾讯科技                                                   </w:t>
      </w:r>
      <w:r>
        <w:rPr>
          <w:rFonts w:eastAsia="宋体" w:ascii="宋体" w:hAnsi="宋体"/>
          <w:b w:val="false"/>
          <w:color w:val="auto"/>
          <w:sz w:val="21"/>
          <w:szCs w:val="21"/>
        </w:rPr>
        <w:t xml:space="preserve">MIG </w:t>
      </w:r>
      <w:r>
        <w:rPr>
          <w:rFonts w:ascii="宋体" w:hAnsi="宋体" w:eastAsia="宋体"/>
          <w:b w:val="false"/>
          <w:color w:val="auto"/>
          <w:sz w:val="21"/>
          <w:szCs w:val="21"/>
        </w:rPr>
        <w:t>人力资源中心总监</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云南白药集团                                                       人力资源总监</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吉利控股集团</w:t>
      </w:r>
      <w:r>
        <w:rPr>
          <w:rFonts w:eastAsia="宋体" w:ascii="宋体" w:hAnsi="宋体"/>
          <w:b w:val="false"/>
          <w:color w:val="auto"/>
          <w:sz w:val="21"/>
          <w:szCs w:val="21"/>
        </w:rPr>
        <w:tab/>
        <w:t xml:space="preserve">                                                   </w:t>
      </w:r>
      <w:r>
        <w:rPr>
          <w:rFonts w:ascii="宋体" w:hAnsi="宋体" w:eastAsia="宋体"/>
          <w:b w:val="false"/>
          <w:color w:val="auto"/>
          <w:sz w:val="21"/>
          <w:szCs w:val="21"/>
        </w:rPr>
        <w:t xml:space="preserve">人力资源总监                                                                                                </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新奥集团                                               组织与人力资源部副总经理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深圳地铁集团                                                     人力资源部部长</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中青旅控股股份有限公司                                       人力资源部副总经理</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微众银行                                                           人力资源总监</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汤臣倍健                                                           人力资源总监</w:t>
      </w:r>
    </w:p>
    <w:p>
      <w:pPr>
        <w:pStyle w:val="EDP"/>
        <w:snapToGrid w:val="false"/>
        <w:rPr>
          <w:rFonts w:ascii="宋体" w:hAnsi="宋体" w:eastAsia="宋体"/>
          <w:b w:val="false"/>
          <w:b w:val="false"/>
          <w:color w:val="auto"/>
          <w:sz w:val="21"/>
          <w:szCs w:val="21"/>
        </w:rPr>
      </w:pPr>
      <w:r>
        <w:rPr>
          <w:rFonts w:ascii="宋体" w:hAnsi="宋体" w:eastAsia="宋体"/>
          <w:b w:val="false"/>
          <w:color w:val="auto"/>
          <w:sz w:val="21"/>
          <w:szCs w:val="21"/>
        </w:rPr>
        <w:t>华彬集团                                                           人力资源总监</w:t>
      </w:r>
    </w:p>
    <w:p>
      <w:pPr>
        <w:pStyle w:val="EDP"/>
        <w:snapToGrid w:val="false"/>
        <w:rPr>
          <w:rFonts w:ascii="微软雅黑" w:hAnsi="微软雅黑" w:eastAsia="微软雅黑" w:cs="Times New Roman"/>
          <w:bCs/>
          <w:color w:val="365F91"/>
          <w:w w:val="90"/>
          <w:kern w:val="2"/>
          <w:sz w:val="18"/>
          <w:szCs w:val="18"/>
        </w:rPr>
      </w:pPr>
      <w:r>
        <w:rPr>
          <w:rFonts w:ascii="微软雅黑" w:hAnsi="微软雅黑" w:cs="Times New Roman" w:eastAsia="微软雅黑"/>
          <w:bCs/>
          <w:color w:val="365F91"/>
          <w:w w:val="90"/>
          <w:kern w:val="2"/>
          <w:sz w:val="18"/>
          <w:szCs w:val="18"/>
        </w:rPr>
        <w:t>特别声明：我院保留对课程信息（包括价格、日期、地点、师资、课程安排和其他细节）进行调整的权力。</w:t>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EDP"/>
        <w:snapToGrid w:val="false"/>
        <w:rPr>
          <w:rFonts w:ascii="微软雅黑" w:hAnsi="微软雅黑" w:eastAsia="微软雅黑" w:cs="Times New Roman"/>
          <w:bCs/>
          <w:color w:val="365F91"/>
          <w:w w:val="90"/>
          <w:kern w:val="2"/>
          <w:sz w:val="18"/>
          <w:szCs w:val="18"/>
        </w:rPr>
      </w:pPr>
      <w:r>
        <w:rPr>
          <w:rFonts w:eastAsia="微软雅黑" w:cs="Times New Roman" w:ascii="微软雅黑" w:hAnsi="微软雅黑"/>
          <w:bCs/>
          <w:color w:val="365F91"/>
          <w:w w:val="90"/>
          <w:kern w:val="2"/>
          <w:sz w:val="18"/>
          <w:szCs w:val="18"/>
        </w:rPr>
      </w:r>
    </w:p>
    <w:p>
      <w:pPr>
        <w:pStyle w:val="Normal"/>
        <w:jc w:val="center"/>
        <w:rPr>
          <w:rFonts w:ascii="黑体" w:hAnsi="黑体" w:eastAsia="黑体"/>
          <w:b/>
          <w:b/>
          <w:sz w:val="24"/>
        </w:rPr>
      </w:pPr>
      <w:r>
        <w:rPr>
          <w:rFonts w:ascii="黑体" w:hAnsi="黑体" w:eastAsia="黑体"/>
          <w:b/>
          <w:sz w:val="24"/>
        </w:rPr>
        <w:t>学员登记表</w:t>
      </w:r>
    </w:p>
    <w:tbl>
      <w:tblPr>
        <w:tblStyle w:val="6"/>
        <w:tblW w:w="8522" w:type="dxa"/>
        <w:jc w:val="left"/>
        <w:tblInd w:w="0" w:type="dxa"/>
        <w:tblBorders>
          <w:left w:val="single" w:sz="4" w:space="0" w:color="000000"/>
          <w:bottom w:val="single" w:sz="18" w:space="0" w:color="FFFFFF"/>
          <w:right w:val="single" w:sz="18" w:space="0" w:color="FFFFFF"/>
          <w:insideH w:val="single" w:sz="18" w:space="0" w:color="FFFFFF"/>
          <w:insideV w:val="single" w:sz="18" w:space="0" w:color="FFFFFF"/>
        </w:tblBorders>
        <w:shd w:fill="7A5FA7" w:val="clear"/>
        <w:tblCellMar>
          <w:top w:w="0" w:type="dxa"/>
          <w:left w:w="108" w:type="dxa"/>
          <w:bottom w:w="0" w:type="dxa"/>
          <w:right w:w="108" w:type="dxa"/>
        </w:tblCellMar>
      </w:tblPr>
      <w:tblGrid>
        <w:gridCol w:w="2234"/>
        <w:gridCol w:w="6287"/>
      </w:tblGrid>
      <w:tr>
        <w:trPr/>
        <w:tc>
          <w:tcPr>
            <w:tcW w:w="2234" w:type="dxa"/>
            <w:tcBorders>
              <w:left w:val="single" w:sz="4" w:space="0" w:color="000000"/>
              <w:bottom w:val="single" w:sz="18" w:space="0" w:color="FFFFFF"/>
              <w:right w:val="single" w:sz="18" w:space="0" w:color="FFFFFF"/>
              <w:insideH w:val="single" w:sz="18" w:space="0" w:color="FFFFFF"/>
              <w:insideV w:val="single" w:sz="18" w:space="0" w:color="FFFFFF"/>
            </w:tcBorders>
            <w:shd w:color="7A5FA7" w:fill="FFFFFF" w:val="solid"/>
          </w:tcPr>
          <w:p>
            <w:pPr>
              <w:pStyle w:val="Normal"/>
              <w:jc w:val="center"/>
              <w:rPr>
                <w:rFonts w:ascii="宋体" w:hAnsi="宋体"/>
                <w:b/>
                <w:b/>
                <w:bCs/>
                <w:color w:val="FFFFFF"/>
                <w:szCs w:val="21"/>
              </w:rPr>
            </w:pPr>
            <w:r>
              <w:rPr>
                <w:rFonts w:ascii="宋体" w:hAnsi="宋体"/>
                <w:b/>
                <w:bCs/>
                <w:color w:val="FFFFFF"/>
                <w:szCs w:val="21"/>
              </w:rPr>
              <w:t>申请课程：</w:t>
            </w:r>
          </w:p>
        </w:tc>
        <w:tc>
          <w:tcPr>
            <w:tcW w:w="6287" w:type="dxa"/>
            <w:tcBorders>
              <w:left w:val="single" w:sz="18" w:space="0" w:color="FFFFFF"/>
              <w:bottom w:val="single" w:sz="18" w:space="0" w:color="FFFFFF"/>
              <w:insideH w:val="single" w:sz="18" w:space="0" w:color="FFFFFF"/>
            </w:tcBorders>
            <w:shd w:color="7A5FA7" w:fill="FFFFFF" w:val="solid"/>
          </w:tcPr>
          <w:p>
            <w:pPr>
              <w:pStyle w:val="Normal"/>
              <w:jc w:val="left"/>
              <w:rPr>
                <w:rFonts w:ascii="黑体" w:hAnsi="黑体" w:eastAsia="黑体"/>
                <w:b/>
                <w:b/>
                <w:bCs/>
                <w:sz w:val="24"/>
              </w:rPr>
            </w:pPr>
            <w:r>
              <w:rPr>
                <w:rFonts w:eastAsia="黑体" w:ascii="黑体" w:hAnsi="黑体"/>
                <w:b/>
                <w:bCs/>
                <w:sz w:val="24"/>
              </w:rPr>
            </w:r>
          </w:p>
        </w:tc>
      </w:tr>
    </w:tbl>
    <w:p>
      <w:pPr>
        <w:pStyle w:val="Normal"/>
        <w:rPr>
          <w:sz w:val="18"/>
          <w:szCs w:val="18"/>
        </w:rPr>
      </w:pPr>
      <w:r>
        <w:rPr>
          <w:sz w:val="18"/>
          <w:szCs w:val="18"/>
        </w:rPr>
        <w:t>请认真回答以下所有问题，该申请表必须由申请人填写完整并签名确认，本表为保密文件，仅供招生委员会审核使用。</w:t>
      </w:r>
    </w:p>
    <w:tbl>
      <w:tblPr>
        <w:tblStyle w:val="6"/>
        <w:tblW w:w="8522" w:type="dxa"/>
        <w:jc w:val="left"/>
        <w:tblInd w:w="0" w:type="dxa"/>
        <w:tblBorders>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Grid>
        <w:gridCol w:w="1101"/>
        <w:gridCol w:w="708"/>
        <w:gridCol w:w="284"/>
        <w:gridCol w:w="2692"/>
        <w:gridCol w:w="142"/>
        <w:gridCol w:w="283"/>
        <w:gridCol w:w="709"/>
        <w:gridCol w:w="709"/>
        <w:gridCol w:w="283"/>
        <w:gridCol w:w="1"/>
        <w:gridCol w:w="1609"/>
      </w:tblGrid>
      <w:tr>
        <w:trPr>
          <w:trHeight w:val="397" w:hRule="atLeast"/>
        </w:trPr>
        <w:tc>
          <w:tcPr>
            <w:tcW w:w="8521" w:type="dxa"/>
            <w:gridSpan w:val="11"/>
            <w:tcBorders>
              <w:bottom w:val="single" w:sz="18" w:space="0" w:color="FFFFFF"/>
              <w:right w:val="single" w:sz="18" w:space="0" w:color="FFFFFF"/>
              <w:insideH w:val="single" w:sz="18" w:space="0" w:color="FFFFFF"/>
              <w:insideV w:val="single" w:sz="18" w:space="0" w:color="FFFFFF"/>
            </w:tcBorders>
            <w:shd w:color="7A5FA7" w:fill="FFFFFF" w:val="solid"/>
          </w:tcPr>
          <w:p>
            <w:pPr>
              <w:pStyle w:val="Normal"/>
              <w:jc w:val="center"/>
              <w:rPr>
                <w:b/>
                <w:b/>
                <w:bCs/>
                <w:color w:val="FFFFFF"/>
              </w:rPr>
            </w:pPr>
            <w:r>
              <w:rPr>
                <w:b/>
                <w:bCs/>
                <w:color w:val="FFFFFF"/>
              </w:rPr>
              <w:t>基本资料</w:t>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姓    名</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性    别</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rFonts w:ascii="宋体" w:hAnsi="宋体"/>
              </w:rPr>
            </w:pPr>
            <w:r>
              <w:rPr>
                <w:kern w:val="0"/>
                <w:szCs w:val="21"/>
              </w:rPr>
              <w:t>􀂅</w:t>
            </w:r>
            <w:r>
              <w:rPr>
                <w:rFonts w:ascii="宋体" w:hAnsi="宋体"/>
              </w:rPr>
              <w:t xml:space="preserve">男    </w:t>
            </w:r>
            <w:r>
              <w:rPr>
                <w:kern w:val="0"/>
                <w:szCs w:val="21"/>
              </w:rPr>
              <w:t>􀂅</w:t>
            </w:r>
            <w:r>
              <w:rPr>
                <w:rFonts w:ascii="宋体" w:hAnsi="宋体"/>
              </w:rPr>
              <w:t>女</w:t>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国    籍</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出生日期</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20"/>
          </w:tcPr>
          <w:p>
            <w:pPr>
              <w:pStyle w:val="Normal"/>
              <w:ind w:firstLine="420"/>
              <w:rPr/>
            </w:pPr>
            <w:r>
              <w:rPr/>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身份证号</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所学专业</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5"/>
          </w:tcPr>
          <w:p>
            <w:pPr>
              <w:pStyle w:val="Normal"/>
              <w:ind w:firstLine="420"/>
              <w:jc w:val="center"/>
              <w:rPr/>
            </w:pPr>
            <w:r>
              <w:rPr/>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毕业院校</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最高学位</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20"/>
          </w:tcPr>
          <w:p>
            <w:pPr>
              <w:pStyle w:val="Normal"/>
              <w:ind w:firstLine="420"/>
              <w:jc w:val="center"/>
              <w:rPr/>
            </w:pPr>
            <w:r>
              <w:rPr/>
              <w:t>学位</w:t>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公司名称</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职    务</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部    门</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工作年数</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公司电话</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sz w:val="18"/>
                <w:szCs w:val="18"/>
              </w:rPr>
            </w:pPr>
            <w:r>
              <w:rPr>
                <w:sz w:val="18"/>
                <w:szCs w:val="18"/>
              </w:rPr>
              <w:t>管理工作年数</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手机号码</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E-Mail</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r>
          </w:p>
        </w:tc>
      </w:tr>
      <w:tr>
        <w:trPr>
          <w:trHeight w:val="397" w:hRule="atLeast"/>
        </w:trPr>
        <w:tc>
          <w:tcPr>
            <w:tcW w:w="1101" w:type="dxa"/>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通讯地址</w:t>
            </w:r>
          </w:p>
        </w:tc>
        <w:tc>
          <w:tcPr>
            <w:tcW w:w="4109" w:type="dxa"/>
            <w:gridSpan w:val="5"/>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418"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邮    编</w:t>
            </w:r>
          </w:p>
        </w:tc>
        <w:tc>
          <w:tcPr>
            <w:tcW w:w="1893" w:type="dxa"/>
            <w:gridSpan w:val="3"/>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7A5FA7" w:fill="FFFFFF" w:val="solid"/>
          </w:tcPr>
          <w:p>
            <w:pPr>
              <w:pStyle w:val="Normal"/>
              <w:jc w:val="center"/>
              <w:rPr>
                <w:b/>
                <w:b/>
                <w:color w:val="FFFFFF"/>
              </w:rPr>
            </w:pPr>
            <w:r>
              <w:rPr>
                <w:b/>
                <w:color w:val="FFFFFF"/>
              </w:rPr>
              <w:t>公司背景</w:t>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产品</w:t>
            </w:r>
            <w:r>
              <w:rPr/>
              <w:t>/</w:t>
            </w:r>
            <w:r>
              <w:rPr/>
              <w:t>服务</w:t>
            </w:r>
          </w:p>
        </w:tc>
        <w:tc>
          <w:tcPr>
            <w:tcW w:w="6712" w:type="dxa"/>
            <w:gridSpan w:val="9"/>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年销售额</w:t>
            </w:r>
          </w:p>
        </w:tc>
        <w:tc>
          <w:tcPr>
            <w:tcW w:w="6712" w:type="dxa"/>
            <w:gridSpan w:val="9"/>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t>人民币：                    元</w:t>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rPr/>
            </w:pPr>
            <w:r>
              <w:rPr/>
              <w:t>是否为上市企业</w:t>
            </w:r>
          </w:p>
        </w:tc>
        <w:tc>
          <w:tcPr>
            <w:tcW w:w="6712" w:type="dxa"/>
            <w:gridSpan w:val="9"/>
            <w:tcBorders>
              <w:top w:val="single" w:sz="18" w:space="0" w:color="FFFFFF"/>
              <w:left w:val="single" w:sz="18" w:space="0" w:color="FFFFFF"/>
              <w:bottom w:val="single" w:sz="18" w:space="0" w:color="FFFFFF"/>
              <w:insideH w:val="single" w:sz="18" w:space="0" w:color="FFFFFF"/>
            </w:tcBorders>
            <w:shd w:color="000000" w:fill="FFFFFF" w:val="pct20"/>
          </w:tcPr>
          <w:p>
            <w:pPr>
              <w:pStyle w:val="Normal"/>
              <w:rPr/>
            </w:pPr>
            <w:r>
              <w:rPr/>
              <w:t>是（   ）  否（   ）       股票代码：</w:t>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公司员工人数</w:t>
            </w:r>
          </w:p>
        </w:tc>
        <w:tc>
          <w:tcPr>
            <w:tcW w:w="6712" w:type="dxa"/>
            <w:gridSpan w:val="9"/>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kern w:val="0"/>
                <w:szCs w:val="21"/>
              </w:rPr>
              <w:t>􀂅</w:t>
            </w:r>
            <w:r>
              <w:rPr>
                <w:kern w:val="0"/>
                <w:szCs w:val="21"/>
              </w:rPr>
              <w:t>50</w:t>
            </w:r>
            <w:r>
              <w:rPr>
                <w:kern w:val="0"/>
                <w:szCs w:val="21"/>
              </w:rPr>
              <w:t>人以下  􀂅</w:t>
            </w:r>
            <w:r>
              <w:rPr>
                <w:kern w:val="0"/>
                <w:szCs w:val="21"/>
              </w:rPr>
              <w:t>50-300</w:t>
            </w:r>
            <w:r>
              <w:rPr>
                <w:kern w:val="0"/>
                <w:szCs w:val="21"/>
              </w:rPr>
              <w:t>人  􀂅</w:t>
            </w:r>
            <w:r>
              <w:rPr>
                <w:kern w:val="0"/>
                <w:szCs w:val="21"/>
              </w:rPr>
              <w:t>300-500</w:t>
            </w:r>
            <w:r>
              <w:rPr>
                <w:kern w:val="0"/>
                <w:szCs w:val="21"/>
              </w:rPr>
              <w:t>人  􀂅</w:t>
            </w:r>
            <w:r>
              <w:rPr>
                <w:kern w:val="0"/>
                <w:szCs w:val="21"/>
              </w:rPr>
              <w:t>500</w:t>
            </w:r>
            <w:r>
              <w:rPr>
                <w:kern w:val="0"/>
                <w:szCs w:val="21"/>
              </w:rPr>
              <w:t>人以上</w:t>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直接下属人数</w:t>
            </w:r>
          </w:p>
        </w:tc>
        <w:tc>
          <w:tcPr>
            <w:tcW w:w="6712" w:type="dxa"/>
            <w:gridSpan w:val="9"/>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kern w:val="0"/>
                <w:szCs w:val="21"/>
              </w:rPr>
              <w:t>􀂅</w:t>
            </w:r>
            <w:r>
              <w:rPr>
                <w:kern w:val="0"/>
                <w:szCs w:val="21"/>
              </w:rPr>
              <w:t>10</w:t>
            </w:r>
            <w:r>
              <w:rPr>
                <w:kern w:val="0"/>
                <w:szCs w:val="21"/>
              </w:rPr>
              <w:t>人以下   􀂅</w:t>
            </w:r>
            <w:r>
              <w:rPr>
                <w:kern w:val="0"/>
                <w:szCs w:val="21"/>
              </w:rPr>
              <w:t>10-30</w:t>
            </w:r>
            <w:r>
              <w:rPr>
                <w:kern w:val="0"/>
                <w:szCs w:val="21"/>
              </w:rPr>
              <w:t xml:space="preserve">人   􀂅 </w:t>
            </w:r>
            <w:r>
              <w:rPr>
                <w:kern w:val="0"/>
                <w:szCs w:val="21"/>
              </w:rPr>
              <w:t>30-50</w:t>
            </w:r>
            <w:r>
              <w:rPr>
                <w:kern w:val="0"/>
                <w:szCs w:val="21"/>
              </w:rPr>
              <w:t>人   􀂅</w:t>
            </w:r>
            <w:r>
              <w:rPr>
                <w:kern w:val="0"/>
                <w:szCs w:val="21"/>
              </w:rPr>
              <w:t>50</w:t>
            </w:r>
            <w:r>
              <w:rPr>
                <w:kern w:val="0"/>
                <w:szCs w:val="21"/>
              </w:rPr>
              <w:t>人以上</w:t>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公司培训负责人</w:t>
            </w:r>
          </w:p>
        </w:tc>
        <w:tc>
          <w:tcPr>
            <w:tcW w:w="2976"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134" w:type="dxa"/>
            <w:gridSpan w:val="3"/>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公司电话</w:t>
            </w:r>
          </w:p>
        </w:tc>
        <w:tc>
          <w:tcPr>
            <w:tcW w:w="2602" w:type="dxa"/>
            <w:gridSpan w:val="4"/>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手机号码</w:t>
            </w:r>
          </w:p>
        </w:tc>
        <w:tc>
          <w:tcPr>
            <w:tcW w:w="2976"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kern w:val="0"/>
                <w:szCs w:val="21"/>
              </w:rPr>
            </w:pPr>
            <w:r>
              <w:rPr>
                <w:kern w:val="0"/>
                <w:szCs w:val="21"/>
              </w:rPr>
            </w:r>
          </w:p>
        </w:tc>
        <w:tc>
          <w:tcPr>
            <w:tcW w:w="1134" w:type="dxa"/>
            <w:gridSpan w:val="3"/>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kern w:val="0"/>
                <w:szCs w:val="21"/>
              </w:rPr>
            </w:pPr>
            <w:r>
              <w:rPr/>
              <w:t>E-Mail</w:t>
            </w:r>
          </w:p>
        </w:tc>
        <w:tc>
          <w:tcPr>
            <w:tcW w:w="2602" w:type="dxa"/>
            <w:gridSpan w:val="4"/>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kern w:val="0"/>
                <w:szCs w:val="21"/>
              </w:rPr>
            </w:pPr>
            <w:r>
              <w:rPr>
                <w:kern w:val="0"/>
                <w:szCs w:val="21"/>
              </w:rPr>
            </w:r>
          </w:p>
        </w:tc>
      </w:tr>
      <w:tr>
        <w:trPr>
          <w:trHeight w:val="397" w:hRule="atLeast"/>
        </w:trPr>
        <w:tc>
          <w:tcPr>
            <w:tcW w:w="1809" w:type="dxa"/>
            <w:gridSpan w:val="2"/>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szCs w:val="21"/>
              </w:rPr>
            </w:pPr>
            <w:r>
              <w:rPr>
                <w:szCs w:val="21"/>
              </w:rPr>
              <w:t>请您选择目前</w:t>
            </w:r>
          </w:p>
          <w:p>
            <w:pPr>
              <w:pStyle w:val="Normal"/>
              <w:jc w:val="center"/>
              <w:rPr>
                <w:szCs w:val="21"/>
              </w:rPr>
            </w:pPr>
            <w:r>
              <w:rPr>
                <w:szCs w:val="21"/>
              </w:rPr>
              <w:t>所在的行业</w:t>
            </w:r>
          </w:p>
          <w:p>
            <w:pPr>
              <w:pStyle w:val="Normal"/>
              <w:jc w:val="center"/>
              <w:rPr>
                <w:szCs w:val="21"/>
              </w:rPr>
            </w:pPr>
            <w:r>
              <w:rPr>
                <w:szCs w:val="21"/>
              </w:rPr>
              <w:t>（限选一项）</w:t>
            </w:r>
          </w:p>
        </w:tc>
        <w:tc>
          <w:tcPr>
            <w:tcW w:w="6712" w:type="dxa"/>
            <w:gridSpan w:val="9"/>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农、林、牧、渔            </w:t>
            </w:r>
            <w:r>
              <w:rPr>
                <w:kern w:val="0"/>
                <w:szCs w:val="21"/>
              </w:rPr>
              <w:t>􀂅</w:t>
            </w:r>
            <w:r>
              <w:rPr>
                <w:rFonts w:ascii="Wingdings2" w:hAnsi="Wingdings2" w:cs="Wingdings2"/>
                <w:kern w:val="0"/>
                <w:szCs w:val="21"/>
              </w:rPr>
              <w:t xml:space="preserve"> </w:t>
            </w:r>
            <w:r>
              <w:rPr>
                <w:rFonts w:ascii="宋体" w:hAnsi="宋体" w:cs="宋体"/>
                <w:kern w:val="0"/>
                <w:szCs w:val="21"/>
              </w:rPr>
              <w:t>电力、煤气及水的生产和供应业</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采掘业                    </w:t>
            </w:r>
            <w:r>
              <w:rPr>
                <w:kern w:val="0"/>
                <w:szCs w:val="21"/>
              </w:rPr>
              <w:t>􀂅</w:t>
            </w:r>
            <w:r>
              <w:rPr>
                <w:rFonts w:ascii="Wingdings2" w:hAnsi="Wingdings2" w:cs="Wingdings2"/>
                <w:kern w:val="0"/>
                <w:szCs w:val="21"/>
              </w:rPr>
              <w:t xml:space="preserve"> 地质勘查业、水利管理业</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制造业                    </w:t>
            </w:r>
            <w:r>
              <w:rPr>
                <w:kern w:val="0"/>
                <w:szCs w:val="21"/>
              </w:rPr>
              <w:t>􀂅</w:t>
            </w:r>
            <w:r>
              <w:rPr>
                <w:rFonts w:ascii="Wingdings2" w:hAnsi="Wingdings2" w:cs="Wingdings2"/>
                <w:kern w:val="0"/>
                <w:szCs w:val="21"/>
              </w:rPr>
              <w:t xml:space="preserve"> </w:t>
            </w:r>
            <w:r>
              <w:rPr>
                <w:rFonts w:ascii="宋体" w:hAnsi="宋体" w:cs="宋体"/>
                <w:kern w:val="0"/>
                <w:szCs w:val="21"/>
              </w:rPr>
              <w:t>交通运输、仓储及邮电通讯业</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建筑业                    </w:t>
            </w:r>
            <w:r>
              <w:rPr>
                <w:kern w:val="0"/>
                <w:szCs w:val="21"/>
              </w:rPr>
              <w:t>􀂅</w:t>
            </w:r>
            <w:r>
              <w:rPr>
                <w:rFonts w:ascii="Wingdings2" w:hAnsi="Wingdings2" w:cs="Wingdings2"/>
                <w:kern w:val="0"/>
                <w:szCs w:val="21"/>
              </w:rPr>
              <w:t xml:space="preserve"> </w:t>
            </w:r>
            <w:r>
              <w:rPr>
                <w:rFonts w:ascii="宋体" w:hAnsi="宋体" w:cs="宋体"/>
                <w:kern w:val="0"/>
                <w:szCs w:val="21"/>
              </w:rPr>
              <w:t>批发和零售贸易、餐饮业</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金融保险业                </w:t>
            </w:r>
            <w:r>
              <w:rPr>
                <w:kern w:val="0"/>
                <w:szCs w:val="21"/>
              </w:rPr>
              <w:t>􀂅</w:t>
            </w:r>
            <w:r>
              <w:rPr>
                <w:rFonts w:ascii="Wingdings2" w:hAnsi="Wingdings2" w:cs="Wingdings2"/>
                <w:kern w:val="0"/>
                <w:szCs w:val="21"/>
              </w:rPr>
              <w:t xml:space="preserve"> </w:t>
            </w:r>
            <w:r>
              <w:rPr>
                <w:rFonts w:ascii="宋体" w:hAnsi="宋体" w:cs="宋体"/>
                <w:kern w:val="0"/>
                <w:szCs w:val="21"/>
              </w:rPr>
              <w:t>卫生、体育和社会福利</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房地产业                  </w:t>
            </w:r>
            <w:r>
              <w:rPr>
                <w:kern w:val="0"/>
                <w:szCs w:val="21"/>
              </w:rPr>
              <w:t>􀂅</w:t>
            </w:r>
            <w:r>
              <w:rPr>
                <w:rFonts w:ascii="Wingdings2" w:hAnsi="Wingdings2" w:cs="Wingdings2"/>
                <w:kern w:val="0"/>
                <w:szCs w:val="21"/>
              </w:rPr>
              <w:t xml:space="preserve"> </w:t>
            </w:r>
            <w:r>
              <w:rPr>
                <w:rFonts w:ascii="宋体" w:hAnsi="宋体" w:cs="宋体"/>
                <w:kern w:val="0"/>
                <w:szCs w:val="21"/>
              </w:rPr>
              <w:t>教育、文化艺术及广播业</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 xml:space="preserve">社会服务业                </w:t>
            </w:r>
            <w:r>
              <w:rPr>
                <w:kern w:val="0"/>
                <w:szCs w:val="21"/>
              </w:rPr>
              <w:t>􀂅</w:t>
            </w:r>
            <w:r>
              <w:rPr>
                <w:rFonts w:ascii="Wingdings2" w:hAnsi="Wingdings2" w:cs="Wingdings2"/>
                <w:kern w:val="0"/>
                <w:szCs w:val="21"/>
              </w:rPr>
              <w:t xml:space="preserve"> </w:t>
            </w:r>
            <w:r>
              <w:rPr>
                <w:rFonts w:ascii="宋体" w:hAnsi="宋体" w:cs="宋体"/>
                <w:kern w:val="0"/>
                <w:szCs w:val="21"/>
              </w:rPr>
              <w:t>科学研究和综合技术服务业</w:t>
            </w:r>
          </w:p>
          <w:p>
            <w:pPr>
              <w:pStyle w:val="Normal"/>
              <w:jc w:val="left"/>
              <w:rPr>
                <w:rFonts w:ascii="宋体" w:hAnsi="宋体" w:cs="宋体"/>
                <w:kern w:val="0"/>
                <w:szCs w:val="21"/>
              </w:rPr>
            </w:pPr>
            <w:r>
              <w:rPr>
                <w:kern w:val="0"/>
                <w:szCs w:val="21"/>
              </w:rPr>
              <w:t>􀂅</w:t>
            </w:r>
            <w:r>
              <w:rPr>
                <w:rFonts w:ascii="Wingdings2" w:hAnsi="Wingdings2" w:cs="Wingdings2"/>
                <w:kern w:val="0"/>
                <w:szCs w:val="21"/>
              </w:rPr>
              <w:t xml:space="preserve"> </w:t>
            </w:r>
            <w:r>
              <w:rPr>
                <w:rFonts w:ascii="宋体" w:hAnsi="宋体" w:cs="宋体"/>
                <w:kern w:val="0"/>
                <w:szCs w:val="21"/>
              </w:rPr>
              <w:t>国家机关、党政机关</w:t>
            </w:r>
          </w:p>
          <w:p>
            <w:pPr>
              <w:pStyle w:val="Normal"/>
              <w:jc w:val="left"/>
              <w:rPr>
                <w:rFonts w:ascii="宋体" w:hAnsi="宋体" w:cs="宋体"/>
                <w:kern w:val="0"/>
                <w:szCs w:val="21"/>
                <w:u w:val="single"/>
              </w:rPr>
            </w:pPr>
            <w:r>
              <w:rPr>
                <w:kern w:val="0"/>
                <w:szCs w:val="21"/>
              </w:rPr>
              <w:t>􀂅</w:t>
            </w:r>
            <w:r>
              <w:rPr>
                <w:rFonts w:ascii="Wingdings2" w:hAnsi="Wingdings2" w:cs="Wingdings2"/>
                <w:kern w:val="0"/>
                <w:szCs w:val="21"/>
              </w:rPr>
              <w:t xml:space="preserve"> </w:t>
            </w:r>
            <w:r>
              <w:rPr>
                <w:rFonts w:ascii="宋体" w:hAnsi="宋体" w:cs="宋体"/>
                <w:kern w:val="0"/>
                <w:szCs w:val="21"/>
              </w:rPr>
              <w:t>其他</w:t>
            </w:r>
            <w:r>
              <w:rPr>
                <w:rFonts w:cs="宋体" w:ascii="宋体" w:hAnsi="宋体"/>
                <w:kern w:val="0"/>
                <w:szCs w:val="21"/>
              </w:rPr>
              <w:t>--</w:t>
            </w:r>
            <w:r>
              <w:rPr>
                <w:rFonts w:ascii="宋体" w:hAnsi="宋体" w:cs="宋体"/>
                <w:kern w:val="0"/>
                <w:szCs w:val="21"/>
              </w:rPr>
              <w:t>具体说明：</w:t>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7A5FA7" w:fill="FFFFFF" w:val="solid"/>
          </w:tcPr>
          <w:p>
            <w:pPr>
              <w:pStyle w:val="Normal"/>
              <w:jc w:val="center"/>
              <w:rPr>
                <w:b/>
                <w:b/>
                <w:color w:val="FFFFFF"/>
              </w:rPr>
            </w:pPr>
            <w:r>
              <w:rPr>
                <w:b/>
                <w:color w:val="FFFFFF"/>
              </w:rPr>
              <w:t>教育培训背景</w:t>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时间</w:t>
            </w:r>
          </w:p>
        </w:tc>
        <w:tc>
          <w:tcPr>
            <w:tcW w:w="2834"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学校</w:t>
            </w:r>
          </w:p>
        </w:tc>
        <w:tc>
          <w:tcPr>
            <w:tcW w:w="1984" w:type="dxa"/>
            <w:gridSpan w:val="4"/>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t>专业</w:t>
            </w:r>
            <w:r>
              <w:rPr/>
              <w:t>/</w:t>
            </w:r>
            <w:r>
              <w:rPr/>
              <w:t>课程</w:t>
            </w:r>
          </w:p>
        </w:tc>
        <w:tc>
          <w:tcPr>
            <w:tcW w:w="1610" w:type="dxa"/>
            <w:gridSpan w:val="2"/>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t>职务</w:t>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2834"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984" w:type="dxa"/>
            <w:gridSpan w:val="4"/>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610" w:type="dxa"/>
            <w:gridSpan w:val="2"/>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2834"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984" w:type="dxa"/>
            <w:gridSpan w:val="4"/>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610" w:type="dxa"/>
            <w:gridSpan w:val="2"/>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2834" w:type="dxa"/>
            <w:gridSpan w:val="2"/>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984" w:type="dxa"/>
            <w:gridSpan w:val="4"/>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610" w:type="dxa"/>
            <w:gridSpan w:val="2"/>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7A5FA7" w:fill="FFFFFF" w:val="solid"/>
          </w:tcPr>
          <w:p>
            <w:pPr>
              <w:pStyle w:val="Normal"/>
              <w:jc w:val="center"/>
              <w:rPr>
                <w:b/>
                <w:b/>
                <w:color w:val="FFFFFF"/>
              </w:rPr>
            </w:pPr>
            <w:r>
              <w:rPr>
                <w:b/>
                <w:color w:val="FFFFFF"/>
              </w:rPr>
              <w:t>工作经历</w:t>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时间</w:t>
            </w:r>
          </w:p>
        </w:tc>
        <w:tc>
          <w:tcPr>
            <w:tcW w:w="4819" w:type="dxa"/>
            <w:gridSpan w:val="7"/>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公司名称</w:t>
            </w:r>
          </w:p>
        </w:tc>
        <w:tc>
          <w:tcPr>
            <w:tcW w:w="1609" w:type="dxa"/>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t>职务</w:t>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4819" w:type="dxa"/>
            <w:gridSpan w:val="7"/>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609" w:type="dxa"/>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4819" w:type="dxa"/>
            <w:gridSpan w:val="7"/>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r>
          </w:p>
        </w:tc>
        <w:tc>
          <w:tcPr>
            <w:tcW w:w="1609" w:type="dxa"/>
            <w:tcBorders>
              <w:top w:val="single" w:sz="18" w:space="0" w:color="FFFFFF"/>
              <w:left w:val="single" w:sz="18" w:space="0" w:color="FFFFFF"/>
              <w:bottom w:val="single" w:sz="18" w:space="0" w:color="FFFFFF"/>
              <w:insideH w:val="single" w:sz="18" w:space="0" w:color="FFFFFF"/>
            </w:tcBorders>
            <w:shd w:color="000000" w:fill="FFFFFF" w:val="pct20"/>
          </w:tcPr>
          <w:p>
            <w:pPr>
              <w:pStyle w:val="Normal"/>
              <w:jc w:val="center"/>
              <w:rPr/>
            </w:pPr>
            <w:r>
              <w:rPr/>
            </w:r>
          </w:p>
        </w:tc>
      </w:tr>
      <w:tr>
        <w:trPr>
          <w:trHeight w:val="397" w:hRule="atLeast"/>
        </w:trPr>
        <w:tc>
          <w:tcPr>
            <w:tcW w:w="2093" w:type="dxa"/>
            <w:gridSpan w:val="3"/>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4819" w:type="dxa"/>
            <w:gridSpan w:val="7"/>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tc>
        <w:tc>
          <w:tcPr>
            <w:tcW w:w="1609" w:type="dxa"/>
            <w:tcBorders>
              <w:top w:val="single" w:sz="18" w:space="0" w:color="FFFFFF"/>
              <w:left w:val="single" w:sz="18" w:space="0" w:color="FFFFFF"/>
              <w:bottom w:val="single" w:sz="18" w:space="0" w:color="FFFFFF"/>
              <w:insideH w:val="single" w:sz="18" w:space="0" w:color="FFFFFF"/>
            </w:tcBorders>
            <w:shd w:color="000000" w:fill="FFFFFF" w:val="pct5"/>
          </w:tcPr>
          <w:p>
            <w:pPr>
              <w:pStyle w:val="Normal"/>
              <w:jc w:val="center"/>
              <w:rPr/>
            </w:pPr>
            <w:r>
              <w:rPr/>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请简要介绍您所在组织或部门情况：</w:t>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p>
            <w:pPr>
              <w:pStyle w:val="Normal"/>
              <w:jc w:val="center"/>
              <w:rPr/>
            </w:pPr>
            <w:r>
              <w:rPr/>
            </w:r>
          </w:p>
          <w:p>
            <w:pPr>
              <w:pStyle w:val="Normal"/>
              <w:jc w:val="center"/>
              <w:rPr/>
            </w:pPr>
            <w:r>
              <w:rPr/>
            </w:r>
          </w:p>
          <w:p>
            <w:pPr>
              <w:pStyle w:val="Normal"/>
              <w:jc w:val="center"/>
              <w:rPr/>
            </w:pPr>
            <w:r>
              <w:rPr/>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您目前所在的组织或部门面临哪些最为严峻的挑战：</w:t>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p>
            <w:pPr>
              <w:pStyle w:val="Normal"/>
              <w:jc w:val="center"/>
              <w:rPr/>
            </w:pPr>
            <w:r>
              <w:rPr/>
            </w:r>
          </w:p>
          <w:p>
            <w:pPr>
              <w:pStyle w:val="Normal"/>
              <w:jc w:val="center"/>
              <w:rPr/>
            </w:pPr>
            <w:r>
              <w:rPr/>
            </w:r>
          </w:p>
          <w:p>
            <w:pPr>
              <w:pStyle w:val="Normal"/>
              <w:jc w:val="center"/>
              <w:rPr/>
            </w:pPr>
            <w:r>
              <w:rPr/>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请说明您参加本课程的目的和目标：</w:t>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center"/>
              <w:rPr/>
            </w:pPr>
            <w:r>
              <w:rPr/>
            </w:r>
          </w:p>
          <w:p>
            <w:pPr>
              <w:pStyle w:val="Normal"/>
              <w:jc w:val="center"/>
              <w:rPr/>
            </w:pPr>
            <w:r>
              <w:rPr/>
            </w:r>
          </w:p>
          <w:p>
            <w:pPr>
              <w:pStyle w:val="Normal"/>
              <w:jc w:val="center"/>
              <w:rPr/>
            </w:pPr>
            <w:r>
              <w:rPr/>
            </w:r>
          </w:p>
          <w:p>
            <w:pPr>
              <w:pStyle w:val="Normal"/>
              <w:jc w:val="center"/>
              <w:rPr/>
            </w:pPr>
            <w:r>
              <w:rPr/>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20"/>
          </w:tcPr>
          <w:p>
            <w:pPr>
              <w:pStyle w:val="Normal"/>
              <w:jc w:val="center"/>
              <w:rPr/>
            </w:pPr>
            <w:r>
              <w:rPr/>
              <w:t>您是如何获得本课程信息的：</w:t>
            </w:r>
          </w:p>
        </w:tc>
      </w:tr>
      <w:tr>
        <w:trPr>
          <w:trHeight w:val="397" w:hRule="atLeast"/>
        </w:trPr>
        <w:tc>
          <w:tcPr>
            <w:tcW w:w="8521" w:type="dxa"/>
            <w:gridSpan w:val="11"/>
            <w:tcBorders>
              <w:top w:val="single" w:sz="18" w:space="0" w:color="FFFFFF"/>
              <w:bottom w:val="single" w:sz="18" w:space="0" w:color="FFFFFF"/>
              <w:right w:val="single" w:sz="18" w:space="0" w:color="FFFFFF"/>
              <w:insideH w:val="single" w:sz="18" w:space="0" w:color="FFFFFF"/>
              <w:insideV w:val="single" w:sz="18" w:space="0" w:color="FFFFFF"/>
            </w:tcBorders>
            <w:shd w:color="000000" w:fill="FFFFFF" w:val="pct5"/>
          </w:tcPr>
          <w:p>
            <w:pPr>
              <w:pStyle w:val="Normal"/>
              <w:jc w:val="left"/>
              <w:rPr/>
            </w:pPr>
            <w:r>
              <w:rPr>
                <w:kern w:val="0"/>
                <w:szCs w:val="21"/>
              </w:rPr>
              <w:t>􀂅</w:t>
            </w:r>
            <w:r>
              <w:rPr>
                <w:kern w:val="0"/>
                <w:szCs w:val="21"/>
              </w:rPr>
              <w:t>百度搜索    􀂅中国人民大学网站   􀂅中国人民大学商学院网站   􀂅</w:t>
            </w:r>
            <w:r>
              <w:rPr>
                <w:kern w:val="0"/>
                <w:szCs w:val="21"/>
              </w:rPr>
              <w:t>EDM(</w:t>
            </w:r>
            <w:r>
              <w:rPr>
                <w:kern w:val="0"/>
                <w:szCs w:val="21"/>
              </w:rPr>
              <w:t>邮件直投</w:t>
            </w:r>
            <w:r>
              <w:rPr>
                <w:kern w:val="0"/>
                <w:szCs w:val="21"/>
              </w:rPr>
              <w:t xml:space="preserve">)   </w:t>
            </w:r>
          </w:p>
          <w:p>
            <w:pPr>
              <w:pStyle w:val="Normal"/>
              <w:jc w:val="left"/>
              <w:rPr>
                <w:u w:val="single"/>
              </w:rPr>
            </w:pPr>
            <w:r>
              <w:rPr>
                <w:kern w:val="0"/>
                <w:szCs w:val="21"/>
              </w:rPr>
              <w:t>􀂅</w:t>
            </w:r>
            <w:r>
              <w:rPr>
                <w:kern w:val="0"/>
                <w:szCs w:val="21"/>
              </w:rPr>
              <w:t>校友推荐      􀂅其他：</w:t>
            </w:r>
          </w:p>
        </w:tc>
      </w:tr>
      <w:tr>
        <w:trPr>
          <w:trHeight w:val="397" w:hRule="atLeast"/>
        </w:trPr>
        <w:tc>
          <w:tcPr>
            <w:tcW w:w="8521" w:type="dxa"/>
            <w:gridSpan w:val="11"/>
            <w:tcBorders>
              <w:top w:val="single" w:sz="18" w:space="0" w:color="FFFFFF"/>
              <w:right w:val="single" w:sz="18" w:space="0" w:color="FFFFFF"/>
              <w:insideV w:val="single" w:sz="18" w:space="0" w:color="FFFFFF"/>
            </w:tcBorders>
            <w:shd w:color="000000" w:fill="FFFFFF" w:val="pct20"/>
          </w:tcPr>
          <w:p>
            <w:pPr>
              <w:pStyle w:val="Normal"/>
              <w:jc w:val="center"/>
              <w:rPr>
                <w:b/>
                <w:b/>
                <w:sz w:val="18"/>
                <w:szCs w:val="18"/>
              </w:rPr>
            </w:pPr>
            <w:r>
              <w:rPr>
                <w:b/>
                <w:sz w:val="18"/>
                <w:szCs w:val="18"/>
              </w:rPr>
              <w:t>撤消政策：</w:t>
            </w:r>
          </w:p>
          <w:p>
            <w:pPr>
              <w:pStyle w:val="Normal"/>
              <w:jc w:val="left"/>
              <w:rPr>
                <w:rFonts w:ascii="宋体" w:hAnsi="宋体" w:cs="宋体"/>
                <w:kern w:val="0"/>
                <w:sz w:val="18"/>
                <w:szCs w:val="18"/>
              </w:rPr>
            </w:pPr>
            <w:r>
              <w:rPr>
                <w:sz w:val="18"/>
                <w:szCs w:val="18"/>
              </w:rPr>
              <w:t>如遇撤消报名或延期入学，必须于开课</w:t>
            </w:r>
            <w:r>
              <w:rPr>
                <w:sz w:val="18"/>
                <w:szCs w:val="18"/>
              </w:rPr>
              <w:t>30</w:t>
            </w:r>
            <w:r>
              <w:rPr>
                <w:sz w:val="18"/>
                <w:szCs w:val="18"/>
              </w:rPr>
              <w:t>天之前以书面形式，提出申请，方可获得全额退款。</w:t>
            </w:r>
            <w:r>
              <w:rPr>
                <w:rFonts w:ascii="宋体" w:hAnsi="宋体" w:cs="宋体"/>
                <w:kern w:val="0"/>
                <w:sz w:val="18"/>
                <w:szCs w:val="18"/>
              </w:rPr>
              <w:t>鉴于课程的要求以及课程准备工作的需要，凡在开课前</w:t>
            </w:r>
            <w:r>
              <w:rPr>
                <w:rFonts w:cs="Arial Narrow" w:ascii="Arial Narrow" w:hAnsi="Arial Narrow"/>
                <w:kern w:val="0"/>
                <w:sz w:val="18"/>
                <w:szCs w:val="18"/>
              </w:rPr>
              <w:t>14</w:t>
            </w:r>
            <w:r>
              <w:rPr>
                <w:rFonts w:ascii="宋体" w:hAnsi="宋体" w:cs="宋体"/>
                <w:kern w:val="0"/>
                <w:sz w:val="18"/>
                <w:szCs w:val="18"/>
              </w:rPr>
              <w:t>－</w:t>
            </w:r>
            <w:r>
              <w:rPr>
                <w:rFonts w:cs="Arial Narrow" w:ascii="Arial Narrow" w:hAnsi="Arial Narrow"/>
                <w:kern w:val="0"/>
                <w:sz w:val="18"/>
                <w:szCs w:val="18"/>
              </w:rPr>
              <w:t xml:space="preserve">30 </w:t>
            </w:r>
            <w:r>
              <w:rPr>
                <w:rFonts w:ascii="宋体" w:hAnsi="宋体" w:cs="宋体"/>
                <w:kern w:val="0"/>
                <w:sz w:val="18"/>
                <w:szCs w:val="18"/>
              </w:rPr>
              <w:t>天之内才要求撤消报名或延期入学者，需交纳课程费用的二分之一；凡在开课前</w:t>
            </w:r>
            <w:r>
              <w:rPr>
                <w:rFonts w:cs="Arial Narrow" w:ascii="Arial Narrow" w:hAnsi="Arial Narrow"/>
                <w:kern w:val="0"/>
                <w:sz w:val="18"/>
                <w:szCs w:val="18"/>
              </w:rPr>
              <w:t>14</w:t>
            </w:r>
            <w:r>
              <w:rPr>
                <w:rFonts w:ascii="宋体" w:hAnsi="宋体" w:cs="宋体"/>
                <w:kern w:val="0"/>
                <w:sz w:val="18"/>
                <w:szCs w:val="18"/>
              </w:rPr>
              <w:t>天内才要求撤消报名或延期入学者，需交纳全额课程费用。</w:t>
            </w:r>
          </w:p>
          <w:p>
            <w:pPr>
              <w:pStyle w:val="Normal"/>
              <w:jc w:val="left"/>
              <w:rPr>
                <w:rFonts w:ascii="宋体" w:hAnsi="宋体" w:cs="宋体"/>
                <w:kern w:val="0"/>
                <w:sz w:val="18"/>
                <w:szCs w:val="18"/>
              </w:rPr>
            </w:pPr>
            <w:r>
              <w:rPr>
                <w:rFonts w:ascii="宋体" w:hAnsi="宋体" w:cs="宋体"/>
                <w:kern w:val="0"/>
                <w:sz w:val="18"/>
                <w:szCs w:val="18"/>
              </w:rPr>
              <w:t>凡被录取者，须于开课前付清课程费用。</w:t>
            </w:r>
          </w:p>
        </w:tc>
      </w:tr>
    </w:tbl>
    <w:p>
      <w:pPr>
        <w:pStyle w:val="Normal"/>
        <w:jc w:val="left"/>
        <w:rPr>
          <w:rFonts w:ascii="宋体" w:hAnsi="宋体" w:cs="宋体"/>
          <w:kern w:val="0"/>
          <w:szCs w:val="21"/>
        </w:rPr>
      </w:pPr>
      <w:r>
        <w:rPr>
          <w:rFonts w:cs="宋体" w:ascii="宋体" w:hAnsi="宋体"/>
          <w:kern w:val="0"/>
          <w:szCs w:val="21"/>
        </w:rPr>
      </w:r>
    </w:p>
    <w:p>
      <w:pPr>
        <w:pStyle w:val="Normal"/>
        <w:jc w:val="left"/>
        <w:rPr/>
      </w:pPr>
      <w:r>
        <w:rPr>
          <w:rFonts w:ascii="宋体" w:hAnsi="宋体" w:cs="宋体"/>
          <w:kern w:val="0"/>
          <w:szCs w:val="21"/>
        </w:rPr>
        <w:t>本人特此证明，所提供的与本申请表相关的一切信息和资料均真实准确。</w:t>
      </w:r>
    </w:p>
    <w:p>
      <w:pPr>
        <w:pStyle w:val="Normal"/>
        <w:jc w:val="left"/>
        <w:rPr>
          <w:rFonts w:ascii="宋体" w:hAnsi="宋体" w:cs="宋体"/>
          <w:kern w:val="0"/>
          <w:szCs w:val="21"/>
          <w:u w:val="single"/>
        </w:rPr>
      </w:pPr>
      <w:r>
        <w:rPr>
          <w:rFonts w:ascii="宋体" w:hAnsi="宋体" w:cs="宋体"/>
          <w:kern w:val="0"/>
          <w:szCs w:val="21"/>
        </w:rPr>
        <w:t>填表人签名：</w:t>
      </w:r>
      <w:r>
        <w:rPr>
          <w:rFonts w:ascii="宋体" w:hAnsi="宋体" w:cs="宋体"/>
          <w:kern w:val="0"/>
          <w:szCs w:val="21"/>
          <w:u w:val="single"/>
        </w:rPr>
        <w:t xml:space="preserve">                        </w:t>
      </w:r>
      <w:r>
        <w:rPr>
          <w:rFonts w:ascii="宋体" w:hAnsi="宋体" w:cs="宋体"/>
          <w:kern w:val="0"/>
          <w:szCs w:val="21"/>
        </w:rPr>
        <w:t xml:space="preserve">              日期：</w:t>
      </w:r>
      <w:r>
        <w:rPr>
          <w:rFonts w:ascii="宋体" w:hAnsi="宋体" w:cs="宋体"/>
          <w:kern w:val="0"/>
          <w:szCs w:val="21"/>
          <w:u w:val="single"/>
        </w:rPr>
        <w:t xml:space="preserve">                </w:t>
      </w:r>
    </w:p>
    <w:p>
      <w:pPr>
        <w:pStyle w:val="Normal"/>
        <w:jc w:val="left"/>
        <w:rPr>
          <w:rFonts w:ascii="宋体" w:hAnsi="宋体" w:cs="宋体"/>
          <w:kern w:val="0"/>
          <w:szCs w:val="21"/>
        </w:rPr>
      </w:pPr>
      <w:r>
        <w:rPr>
          <w:rFonts w:ascii="宋体" w:hAnsi="宋体" w:cs="宋体"/>
          <w:kern w:val="0"/>
          <w:szCs w:val="21"/>
        </w:rPr>
        <w:t>请将申请表发回至：</w:t>
      </w:r>
    </w:p>
    <w:p>
      <w:pPr>
        <w:pStyle w:val="Normal"/>
        <w:rPr>
          <w:rFonts w:ascii="宋体" w:hAnsi="宋体" w:cs="宋体"/>
          <w:kern w:val="0"/>
          <w:szCs w:val="21"/>
        </w:rPr>
      </w:pPr>
      <w:r>
        <w:rPr>
          <w:rFonts w:ascii="宋体" w:hAnsi="宋体" w:cs="宋体"/>
          <w:kern w:val="0"/>
          <w:szCs w:val="21"/>
        </w:rPr>
        <w:t>中国人民大学商学院</w:t>
      </w:r>
    </w:p>
    <w:p>
      <w:pPr>
        <w:pStyle w:val="Normal"/>
        <w:rPr>
          <w:rFonts w:ascii="宋体" w:hAnsi="宋体" w:cs="宋体"/>
          <w:kern w:val="0"/>
          <w:szCs w:val="21"/>
        </w:rPr>
      </w:pPr>
      <w:r>
        <w:rPr>
          <w:rFonts w:ascii="宋体" w:hAnsi="宋体" w:cs="宋体"/>
          <w:kern w:val="0"/>
          <w:szCs w:val="21"/>
        </w:rPr>
        <w:t>高层管理教育（</w:t>
      </w:r>
      <w:r>
        <w:rPr>
          <w:rFonts w:cs="宋体" w:ascii="宋体" w:hAnsi="宋体"/>
          <w:kern w:val="0"/>
          <w:szCs w:val="21"/>
        </w:rPr>
        <w:t>Executive Education</w:t>
      </w:r>
      <w:r>
        <w:rPr>
          <w:rFonts w:ascii="宋体" w:hAnsi="宋体" w:cs="宋体"/>
          <w:kern w:val="0"/>
          <w:szCs w:val="21"/>
        </w:rPr>
        <w:t>）中心</w:t>
      </w:r>
    </w:p>
    <w:p>
      <w:pPr>
        <w:pStyle w:val="Normal"/>
        <w:rPr>
          <w:szCs w:val="21"/>
        </w:rPr>
      </w:pPr>
      <w:r>
        <w:rPr>
          <w:rFonts w:ascii="宋体" w:hAnsi="宋体" w:cs="宋体"/>
          <w:kern w:val="0"/>
          <w:szCs w:val="21"/>
        </w:rPr>
        <w:t>地址：中国人民大学明德商学楼</w:t>
      </w:r>
      <w:r>
        <w:rPr>
          <w:rFonts w:cs="宋体" w:ascii="宋体" w:hAnsi="宋体"/>
          <w:kern w:val="0"/>
          <w:szCs w:val="21"/>
        </w:rPr>
        <w:t>8</w:t>
      </w:r>
      <w:r>
        <w:rPr>
          <w:rFonts w:ascii="宋体" w:hAnsi="宋体" w:cs="宋体"/>
          <w:kern w:val="0"/>
          <w:szCs w:val="21"/>
        </w:rPr>
        <w:t>层</w:t>
      </w:r>
    </w:p>
    <w:p>
      <w:pPr>
        <w:pStyle w:val="EDP"/>
        <w:snapToGrid w:val="false"/>
        <w:rPr/>
      </w:pPr>
      <w:r>
        <w:rPr/>
      </w:r>
    </w:p>
    <w:p>
      <w:pPr>
        <w:sectPr>
          <w:type w:val="continuous"/>
          <w:pgSz w:w="11906" w:h="16838"/>
          <w:pgMar w:left="1418" w:right="1797" w:header="851" w:top="1440" w:footer="0" w:bottom="1440" w:gutter="0"/>
          <w:formProt w:val="false"/>
          <w:textDirection w:val="lrTb"/>
          <w:docGrid w:type="default" w:linePitch="600" w:charSpace="38911"/>
        </w:sectPr>
      </w:pPr>
    </w:p>
    <w:sectPr>
      <w:type w:val="continuous"/>
      <w:pgSz w:w="11906" w:h="16838"/>
      <w:pgMar w:left="1418" w:right="1797" w:header="851" w:top="1440" w:footer="0" w:bottom="1440" w:gutter="0"/>
      <w:pgNumType w:fmt="decimal"/>
      <w:formProt w:val="false"/>
      <w:textDirection w:val="lrTb"/>
      <w:docGrid w:type="default" w:linePitch="600" w:charSpace="3891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6"/>
    <w:family w:val="roman"/>
    <w:pitch w:val="variable"/>
  </w:font>
  <w:font w:name="Times New Roman">
    <w:charset w:val="86"/>
    <w:family w:val="roman"/>
    <w:pitch w:val="variable"/>
  </w:font>
  <w:font w:name="等线">
    <w:charset w:val="86"/>
    <w:family w:val="roman"/>
    <w:pitch w:val="variable"/>
  </w:font>
  <w:font w:name="宋体">
    <w:charset w:val="86"/>
    <w:family w:val="roman"/>
    <w:pitch w:val="variable"/>
  </w:font>
  <w:font w:name="黑体">
    <w:charset w:val="86"/>
    <w:family w:val="roman"/>
    <w:pitch w:val="variable"/>
  </w:font>
  <w:font w:name="Liberation Sans">
    <w:altName w:val="Arial"/>
    <w:charset w:val="86"/>
    <w:family w:val="swiss"/>
    <w:pitch w:val="variable"/>
  </w:font>
  <w:font w:name="微软雅黑">
    <w:charset w:val="86"/>
    <w:family w:val="roman"/>
    <w:pitch w:val="variable"/>
  </w:font>
  <w:font w:name="Helvetica">
    <w:altName w:val="Arial"/>
    <w:charset w:val="86"/>
    <w:family w:val="roman"/>
    <w:pitch w:val="variable"/>
  </w:font>
  <w:font w:name="Wingdings2">
    <w:charset w:val="86"/>
    <w:family w:val="roman"/>
    <w:pitch w:val="variable"/>
  </w:font>
  <w:font w:name="Arial Narrow">
    <w:charset w:val="86"/>
    <w:family w:val="roman"/>
    <w:pitch w:val="variable"/>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jc w:val="left"/>
      <w:rPr>
        <w:b/>
        <w:b/>
        <w:sz w:val="21"/>
        <w:szCs w:val="21"/>
      </w:rPr>
    </w:pPr>
    <w:r>
      <w:rPr/>
      <w:drawing>
        <wp:inline distT="0" distB="0" distL="0" distR="0">
          <wp:extent cx="2367280" cy="385445"/>
          <wp:effectExtent l="0" t="0" r="0" b="0"/>
          <wp:docPr id="4" name="图片 5" descr="QQ图片2017101616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QQ图片20171016165505"/>
                  <pic:cNvPicPr>
                    <a:picLocks noChangeAspect="1" noChangeArrowheads="1"/>
                  </pic:cNvPicPr>
                </pic:nvPicPr>
                <pic:blipFill>
                  <a:blip r:embed="rId1"/>
                  <a:stretch>
                    <a:fillRect/>
                  </a:stretch>
                </pic:blipFill>
                <pic:spPr bwMode="auto">
                  <a:xfrm>
                    <a:off x="0" y="0"/>
                    <a:ext cx="2367280" cy="385445"/>
                  </a:xfrm>
                  <a:prstGeom prst="rect">
                    <a:avLst/>
                  </a:prstGeom>
                </pic:spPr>
              </pic:pic>
            </a:graphicData>
          </a:graphic>
        </wp:inline>
      </w:drawing>
    </w:r>
    <w:r>
      <w:rPr/>
      <w:t xml:space="preserve">                            </w:t>
    </w:r>
    <w:r>
      <w:rPr/>
      <w:drawing>
        <wp:inline distT="0" distB="0" distL="0" distR="0">
          <wp:extent cx="1257300" cy="348615"/>
          <wp:effectExtent l="0" t="0" r="0" b="0"/>
          <wp:docPr id="5"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
                  <pic:cNvPicPr>
                    <a:picLocks noChangeAspect="1" noChangeArrowheads="1"/>
                  </pic:cNvPicPr>
                </pic:nvPicPr>
                <pic:blipFill>
                  <a:blip r:embed="rId2"/>
                  <a:stretch>
                    <a:fillRect/>
                  </a:stretch>
                </pic:blipFill>
                <pic:spPr bwMode="auto">
                  <a:xfrm>
                    <a:off x="0" y="0"/>
                    <a:ext cx="1257300" cy="348615"/>
                  </a:xfrm>
                  <a:prstGeom prst="rect">
                    <a:avLst/>
                  </a:prstGeom>
                </pic:spPr>
              </pic:pic>
            </a:graphicData>
          </a:graphic>
        </wp:inline>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2">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5">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6">
    <w:lvl w:ilvl="0">
      <w:start w:val="1"/>
      <w:numFmt w:val="bullet"/>
      <w:lvlText w:val=""/>
      <w:lvlJc w:val="left"/>
      <w:pPr>
        <w:ind w:left="832" w:hanging="420"/>
      </w:pPr>
      <w:rPr>
        <w:rFonts w:ascii="Wingdings" w:hAnsi="Wingdings" w:cs="Wingdings" w:hint="default"/>
      </w:rPr>
    </w:lvl>
    <w:lvl w:ilvl="1">
      <w:start w:val="1"/>
      <w:numFmt w:val="bullet"/>
      <w:lvlText w:val=""/>
      <w:lvlJc w:val="left"/>
      <w:pPr>
        <w:ind w:left="1252" w:hanging="420"/>
      </w:pPr>
      <w:rPr>
        <w:rFonts w:ascii="Wingdings" w:hAnsi="Wingdings" w:cs="Wingdings" w:hint="default"/>
      </w:rPr>
    </w:lvl>
    <w:lvl w:ilvl="2">
      <w:start w:val="1"/>
      <w:numFmt w:val="bullet"/>
      <w:lvlText w:val=""/>
      <w:lvlJc w:val="left"/>
      <w:pPr>
        <w:ind w:left="1672" w:hanging="420"/>
      </w:pPr>
      <w:rPr>
        <w:rFonts w:ascii="Wingdings" w:hAnsi="Wingdings" w:cs="Wingdings" w:hint="default"/>
      </w:rPr>
    </w:lvl>
    <w:lvl w:ilvl="3">
      <w:start w:val="1"/>
      <w:numFmt w:val="bullet"/>
      <w:lvlText w:val=""/>
      <w:lvlJc w:val="left"/>
      <w:pPr>
        <w:ind w:left="2092" w:hanging="420"/>
      </w:pPr>
      <w:rPr>
        <w:rFonts w:ascii="Wingdings" w:hAnsi="Wingdings" w:cs="Wingdings" w:hint="default"/>
      </w:rPr>
    </w:lvl>
    <w:lvl w:ilvl="4">
      <w:start w:val="1"/>
      <w:numFmt w:val="bullet"/>
      <w:lvlText w:val=""/>
      <w:lvlJc w:val="left"/>
      <w:pPr>
        <w:ind w:left="2512" w:hanging="420"/>
      </w:pPr>
      <w:rPr>
        <w:rFonts w:ascii="Wingdings" w:hAnsi="Wingdings" w:cs="Wingdings" w:hint="default"/>
      </w:rPr>
    </w:lvl>
    <w:lvl w:ilvl="5">
      <w:start w:val="1"/>
      <w:numFmt w:val="bullet"/>
      <w:lvlText w:val=""/>
      <w:lvlJc w:val="left"/>
      <w:pPr>
        <w:ind w:left="2932" w:hanging="420"/>
      </w:pPr>
      <w:rPr>
        <w:rFonts w:ascii="Wingdings" w:hAnsi="Wingdings" w:cs="Wingdings" w:hint="default"/>
      </w:rPr>
    </w:lvl>
    <w:lvl w:ilvl="6">
      <w:start w:val="1"/>
      <w:numFmt w:val="bullet"/>
      <w:lvlText w:val=""/>
      <w:lvlJc w:val="left"/>
      <w:pPr>
        <w:ind w:left="3352" w:hanging="420"/>
      </w:pPr>
      <w:rPr>
        <w:rFonts w:ascii="Wingdings" w:hAnsi="Wingdings" w:cs="Wingdings" w:hint="default"/>
      </w:rPr>
    </w:lvl>
    <w:lvl w:ilvl="7">
      <w:start w:val="1"/>
      <w:numFmt w:val="bullet"/>
      <w:lvlText w:val=""/>
      <w:lvlJc w:val="left"/>
      <w:pPr>
        <w:ind w:left="3772" w:hanging="420"/>
      </w:pPr>
      <w:rPr>
        <w:rFonts w:ascii="Wingdings" w:hAnsi="Wingdings" w:cs="Wingdings" w:hint="default"/>
      </w:rPr>
    </w:lvl>
    <w:lvl w:ilvl="8">
      <w:start w:val="1"/>
      <w:numFmt w:val="bullet"/>
      <w:lvlText w:val=""/>
      <w:lvlJc w:val="left"/>
      <w:pPr>
        <w:ind w:left="4192" w:hanging="420"/>
      </w:pPr>
      <w:rPr>
        <w:rFonts w:ascii="Wingdings" w:hAnsi="Wingdings" w:cs="Wingdings" w:hint="default"/>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42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en-US"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semiHidden="0"/>
    <w:lsdException w:name="footer" w:uiPriority="99" w:semiHidden="0"/>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semiHidden="0" w:unhideWhenUsed="0"/>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semiHidden="0" w:unhideWhenUsed="0"/>
    <w:lsdException w:name="Table Subtle 2" w:uiPriority="99"/>
    <w:lsdException w:name="Table Web 1" w:uiPriority="99"/>
    <w:lsdException w:name="Table Web 2" w:uiPriority="99" w:semiHidden="0" w:unhideWhenUsed="0"/>
    <w:lsdException w:name="Table Web 3" w:uiPriority="99" w:semiHidden="0" w:unhideWhenUsed="0"/>
    <w:lsdException w:name="Balloon Text" w:uiPriority="99"/>
    <w:lsdException w:name="Table Grid" w:uiPriority="3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List Paragraph" w:uiPriority="34"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val="false"/>
      <w:bidi w:val="0"/>
      <w:jc w:val="both"/>
    </w:pPr>
    <w:rPr>
      <w:rFonts w:ascii="等线" w:hAnsi="等线" w:eastAsia="等线" w:cs="" w:asciiTheme="minorHAnsi" w:cstheme="minorBidi" w:eastAsiaTheme="minorEastAsia" w:hAnsiTheme="minorHAnsi"/>
      <w:color w:val="auto"/>
      <w:kern w:val="2"/>
      <w:sz w:val="21"/>
      <w:szCs w:val="22"/>
      <w:lang w:val="en-US" w:eastAsia="zh-CN" w:bidi="ar-SA"/>
    </w:rPr>
  </w:style>
  <w:style w:type="paragraph" w:styleId="2">
    <w:name w:val="Heading 2"/>
    <w:basedOn w:val="Normal"/>
    <w:next w:val="Normal"/>
    <w:link w:val="17"/>
    <w:uiPriority w:val="9"/>
    <w:qFormat/>
    <w:pPr>
      <w:widowControl/>
      <w:spacing w:beforeAutospacing="1" w:afterAutospacing="1"/>
      <w:jc w:val="left"/>
      <w:outlineLvl w:val="1"/>
    </w:pPr>
    <w:rPr>
      <w:rFonts w:ascii="宋体" w:hAnsi="宋体" w:eastAsia="宋体" w:cs="宋体"/>
      <w:b/>
      <w:bCs/>
      <w:kern w:val="0"/>
      <w:sz w:val="36"/>
      <w:szCs w:val="36"/>
    </w:rPr>
  </w:style>
  <w:style w:type="character" w:styleId="DefaultParagraphFont" w:default="1">
    <w:name w:val="Default Paragraph Font"/>
    <w:uiPriority w:val="1"/>
    <w:semiHidden/>
    <w:unhideWhenUsed/>
    <w:qFormat/>
    <w:rPr/>
  </w:style>
  <w:style w:type="character" w:styleId="Strong">
    <w:name w:val="Strong"/>
    <w:uiPriority w:val="22"/>
    <w:qFormat/>
    <w:rPr>
      <w:rFonts w:cs="Times New Roman"/>
      <w:b/>
      <w:bCs/>
    </w:rPr>
  </w:style>
  <w:style w:type="character" w:styleId="Style13">
    <w:name w:val="强调"/>
    <w:basedOn w:val="DefaultParagraphFont"/>
    <w:uiPriority w:val="20"/>
    <w:qFormat/>
    <w:rPr>
      <w:color w:val="CC0000"/>
    </w:rPr>
  </w:style>
  <w:style w:type="character" w:styleId="Internet">
    <w:name w:val="Internet 链接"/>
    <w:basedOn w:val="DefaultParagraphFont"/>
    <w:uiPriority w:val="99"/>
    <w:unhideWhenUsed/>
    <w:rPr>
      <w:color w:val="0000CC"/>
      <w:u w:val="single"/>
    </w:rPr>
  </w:style>
  <w:style w:type="character" w:styleId="Style14" w:customStyle="1">
    <w:name w:val="页眉 字符"/>
    <w:basedOn w:val="DefaultParagraphFont"/>
    <w:link w:val="4"/>
    <w:uiPriority w:val="99"/>
    <w:qFormat/>
    <w:rPr>
      <w:sz w:val="18"/>
      <w:szCs w:val="18"/>
    </w:rPr>
  </w:style>
  <w:style w:type="character" w:styleId="Style15" w:customStyle="1">
    <w:name w:val="页脚 字符"/>
    <w:basedOn w:val="DefaultParagraphFont"/>
    <w:link w:val="3"/>
    <w:uiPriority w:val="99"/>
    <w:qFormat/>
    <w:rPr>
      <w:sz w:val="18"/>
      <w:szCs w:val="18"/>
    </w:rPr>
  </w:style>
  <w:style w:type="character" w:styleId="EDPChar" w:customStyle="1">
    <w:name w:val="人大EDP小标题 Char"/>
    <w:link w:val="15"/>
    <w:uiPriority w:val="0"/>
    <w:qFormat/>
    <w:rPr>
      <w:rFonts w:ascii="黑体" w:hAnsi="黑体" w:eastAsia="黑体" w:cs="宋体"/>
      <w:b/>
      <w:color w:val="800000"/>
      <w:kern w:val="0"/>
      <w:sz w:val="24"/>
      <w:szCs w:val="24"/>
    </w:rPr>
  </w:style>
  <w:style w:type="character" w:styleId="21" w:customStyle="1">
    <w:name w:val="标题 2 字符"/>
    <w:basedOn w:val="DefaultParagraphFont"/>
    <w:link w:val="2"/>
    <w:uiPriority w:val="9"/>
    <w:qFormat/>
    <w:rPr>
      <w:rFonts w:ascii="宋体" w:hAnsi="宋体" w:eastAsia="宋体" w:cs="宋体"/>
      <w:b/>
      <w:bCs/>
      <w:kern w:val="0"/>
      <w:sz w:val="36"/>
      <w:szCs w:val="36"/>
    </w:rPr>
  </w:style>
  <w:style w:type="character" w:styleId="Textth" w:customStyle="1">
    <w:name w:val="text-th"/>
    <w:basedOn w:val="DefaultParagraphFont"/>
    <w:uiPriority w:val="0"/>
    <w:qFormat/>
    <w:rPr/>
  </w:style>
  <w:style w:type="character" w:styleId="1" w:customStyle="1">
    <w:name w:val="未处理的提及1"/>
    <w:basedOn w:val="DefaultParagraphFont"/>
    <w:uiPriority w:val="99"/>
    <w:semiHidden/>
    <w:unhideWhenUsed/>
    <w:qFormat/>
    <w:rPr>
      <w:color w:val="605E5C"/>
      <w:shd w:fill="E1DFDD" w:val="clear"/>
    </w:rPr>
  </w:style>
  <w:style w:type="character" w:styleId="ListLabel1">
    <w:name w:val="ListLabel 1"/>
    <w:qFormat/>
    <w:rPr>
      <w:rFonts w:ascii="宋体" w:hAnsi="宋体" w:eastAsia="宋体"/>
      <w:b w:val="false"/>
      <w:color w:val="auto"/>
      <w:sz w:val="21"/>
      <w:szCs w:val="21"/>
    </w:rPr>
  </w:style>
  <w:style w:type="paragraph" w:styleId="Style16">
    <w:name w:val="标题样式"/>
    <w:basedOn w:val="Normal"/>
    <w:next w:val="Style17"/>
    <w:qFormat/>
    <w:pPr>
      <w:keepNext w:val="true"/>
      <w:spacing w:before="240" w:after="120"/>
    </w:pPr>
    <w:rPr>
      <w:rFonts w:ascii="Liberation Sans" w:hAnsi="Liberation Sans" w:eastAsia="微软雅黑" w:cs="Mang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Mangal"/>
    </w:rPr>
  </w:style>
  <w:style w:type="paragraph" w:styleId="Style19">
    <w:name w:val="Caption"/>
    <w:basedOn w:val="Normal"/>
    <w:qFormat/>
    <w:pPr>
      <w:suppressLineNumbers/>
      <w:spacing w:before="120" w:after="120"/>
    </w:pPr>
    <w:rPr>
      <w:rFonts w:cs="Mangal"/>
      <w:i/>
      <w:iCs/>
      <w:sz w:val="24"/>
      <w:szCs w:val="24"/>
    </w:rPr>
  </w:style>
  <w:style w:type="paragraph" w:styleId="Style20">
    <w:name w:val="索引"/>
    <w:basedOn w:val="Normal"/>
    <w:qFormat/>
    <w:pPr>
      <w:suppressLineNumbers/>
    </w:pPr>
    <w:rPr>
      <w:rFonts w:cs="Mangal"/>
    </w:rPr>
  </w:style>
  <w:style w:type="paragraph" w:styleId="Style21">
    <w:name w:val="Footer"/>
    <w:basedOn w:val="Normal"/>
    <w:link w:val="14"/>
    <w:uiPriority w:val="99"/>
    <w:unhideWhenUsed/>
    <w:pPr>
      <w:tabs>
        <w:tab w:val="clear" w:pos="420"/>
        <w:tab w:val="center" w:pos="4153" w:leader="none"/>
        <w:tab w:val="right" w:pos="8306" w:leader="none"/>
      </w:tabs>
      <w:snapToGrid w:val="false"/>
      <w:jc w:val="left"/>
    </w:pPr>
    <w:rPr>
      <w:sz w:val="18"/>
      <w:szCs w:val="18"/>
    </w:rPr>
  </w:style>
  <w:style w:type="paragraph" w:styleId="Style22">
    <w:name w:val="Header"/>
    <w:basedOn w:val="Normal"/>
    <w:link w:val="13"/>
    <w:uiPriority w:val="99"/>
    <w:unhideWhenUsed/>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NormalWeb">
    <w:name w:val="Normal (Web)"/>
    <w:basedOn w:val="Normal"/>
    <w:uiPriority w:val="99"/>
    <w:qFormat/>
    <w:pPr>
      <w:spacing w:lineRule="exact" w:line="400"/>
    </w:pPr>
    <w:rPr>
      <w:rFonts w:ascii="Times New Roman" w:hAnsi="Times New Roman" w:eastAsia="宋体" w:cs="Times New Roman"/>
      <w:sz w:val="24"/>
      <w:szCs w:val="24"/>
    </w:rPr>
  </w:style>
  <w:style w:type="paragraph" w:styleId="ListParagraph">
    <w:name w:val="List Paragraph"/>
    <w:basedOn w:val="Normal"/>
    <w:uiPriority w:val="34"/>
    <w:qFormat/>
    <w:pPr>
      <w:ind w:firstLine="420"/>
    </w:pPr>
    <w:rPr/>
  </w:style>
  <w:style w:type="paragraph" w:styleId="EDP" w:customStyle="1">
    <w:name w:val="人大EDP小标题"/>
    <w:basedOn w:val="NormalWeb"/>
    <w:link w:val="16"/>
    <w:uiPriority w:val="0"/>
    <w:qFormat/>
    <w:pPr>
      <w:widowControl/>
      <w:spacing w:lineRule="auto" w:line="360"/>
      <w:jc w:val="left"/>
    </w:pPr>
    <w:rPr>
      <w:rFonts w:ascii="黑体" w:hAnsi="黑体" w:eastAsia="黑体" w:cs="宋体"/>
      <w:b/>
      <w:color w:val="800000"/>
      <w:kern w:val="0"/>
    </w:rPr>
  </w:style>
  <w:style w:type="paragraph" w:styleId="Style23">
    <w:name w:val="框架内容"/>
    <w:basedOn w:val="Normal"/>
    <w:qFormat/>
    <w:pPr/>
    <w:rPr/>
  </w:style>
  <w:style w:type="table" w:default="1" w:styleId="6">
    <w:name w:val="Normal Table"/>
    <w:uiPriority w:val="99"/>
    <w:semiHidden/>
    <w:unhideWhenUsed/>
    <w:tblPr>
      <w:tblCellMar>
        <w:top w:w="0" w:type="dxa"/>
        <w:left w:w="108" w:type="dxa"/>
        <w:bottom w:w="0" w:type="dxa"/>
        <w:right w:w="108" w:type="dxa"/>
      </w:tblCellMar>
    </w:tbl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Plain Table 4"/>
    <w:basedOn w:val="6"/>
    <w:uiPriority w:val="44"/>
    <w:qFormat/>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jpeg"/><Relationship Id="rId15" Type="http://schemas.openxmlformats.org/officeDocument/2006/relationships/image" Target="media/image15.jpe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jpeg"/><Relationship Id="rId19" Type="http://schemas.openxmlformats.org/officeDocument/2006/relationships/image" Target="media/image19.jpeg"/><Relationship Id="rId20" Type="http://schemas.openxmlformats.org/officeDocument/2006/relationships/image" Target="media/image20.jpeg"/><Relationship Id="rId21" Type="http://schemas.openxmlformats.org/officeDocument/2006/relationships/hyperlink" Target="http://www.baidu.com/link?url=yhjd9pFO_fvG8hVK9EjuRxFFbDuouO1Kj-fjgZq5cftV7LbbfnrcnGNzx7SLf2qA&amp;wd=&amp;eqid=f9070ccd00031c84000000035be40c4b" TargetMode="Externa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Relationship Id="rId27" Type="http://schemas.openxmlformats.org/officeDocument/2006/relationships/customXml" Target="../customXml/item2.xml"/>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137BE96F-61E0-4E52-8C0A-B386481D931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LibreOffice/6.1.4.2$Windows_X86_64 LibreOffice_project/9d0f32d1f0b509096fd65e0d4bec26ddd1938fd3</Application>
  <Pages>20</Pages>
  <Words>5840</Words>
  <Characters>6046</Characters>
  <CharactersWithSpaces>8516</CharactersWithSpaces>
  <Paragraphs>283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2019-12-02T10:58:00Z</dcterms:created>
  <dc:creator>li hang</dc:creator>
  <dc:description/>
  <dc:language>zh-CN</dc:language>
  <cp:lastModifiedBy>10261</cp:lastModifiedBy>
  <cp:lastPrinted>2019-11-04T03:10:00Z</cp:lastPrinted>
  <dcterms:modified xsi:type="dcterms:W3CDTF">2019-12-18T05:37:09Z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2052-11.1.0.9305</vt:lpwstr>
  </property>
  <property fmtid="{D5CDD505-2E9C-101B-9397-08002B2CF9AE}" pid="4" name="LinksUpToDate">
    <vt:bool>0</vt:bool>
  </property>
  <property fmtid="{D5CDD505-2E9C-101B-9397-08002B2CF9AE}" pid="5" name="ScaleCrop">
    <vt:bool>0</vt:bool>
  </property>
</Properties>
</file>