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drawing>
          <wp:inline distT="0" distB="0" distL="0" distR="0">
            <wp:extent cx="3952875" cy="4953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金融与战略管理高级研修班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招生简章</w:t>
      </w:r>
    </w:p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一、学院及专业优势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财政金融学院始建于</w:t>
      </w:r>
      <w:r>
        <w:rPr>
          <w:rFonts w:ascii="仿宋" w:hAnsi="仿宋" w:eastAsia="仿宋"/>
          <w:sz w:val="28"/>
          <w:szCs w:val="28"/>
        </w:rPr>
        <w:t xml:space="preserve"> 1950 年，是中国人民大学最早设立的八大院系之一，也是新中国第一个培养财政金融高级人才的基地，为新中国财政金融学科建立和发展做出了开拓性贡献，被誉为“中国财政金融高等教育领域的领头雁”。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建院以来，学院按照“中国特色、世界一流”的标准，逐步探索出一条兼具国际视野、中国风格和人大学派特色的发展之路。学院汇集了我国财政金融学科领域的著名专家学者，形成了一支老中青均衡组合、具有强大发展后劲和创新精神的学术梯队；涌现出一大批不仅具有重大理论价值，而且能够深植于中国实际的重大理论成果和开创性教材；始终以咨政启民为己任，不断为国家经济社会发展提供全方位、深层次、高水平的服务，多项政策建议得到党和国家领导人的批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1988年，财政学、金融学（货币银行学）在教育部组织的国家重点学科评审中被评为国家级重点学科，而后又分别于2001年、2006年、2013年蝉联国家级重点学科。自2004年教育部开展一级学科评估以来，以财政学、金融学为骨干的中国人民大学应用经济学分别在2004年、2008年和2012年的三轮评估中连续排名全国第一，2017年又成功入选“双一流”学科建设名单。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二、培训对象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民营企业家和创业者；上市公司和有资本市场运作需要的企业创始人及企业高层管理人员；金融机构及相关企业</w:t>
      </w:r>
      <w:r>
        <w:rPr>
          <w:rFonts w:ascii="仿宋" w:hAnsi="仿宋" w:eastAsia="仿宋"/>
          <w:sz w:val="28"/>
          <w:szCs w:val="28"/>
        </w:rPr>
        <w:t>/集团（银行、保险、证券、基金管理、信托、期货、资产管理等）总裁、董事长、总经理、高级经理等高层管理人员；金融科技、互联网等行业精英；其他致力于资本市场运作的优秀人才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本项目不招收党政机关、国有企业、事业单位领导干部。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三、培训内容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模块一：现代金融体系与政策解读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1、全球经济、金融体系现状与发展；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、货币政策解读及未来发展走向；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、金融监管政策解读；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4、中国资本市场产业链及发展趋势；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模块二：中国股票市场投资逻辑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1、多层次资本市场改革与探索；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、证券估值与投资行业分析；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、资产证券化创新与实践；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、金融衍生工具与风险管理；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、行为金融与投资心理学；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、大宗商品</w:t>
      </w:r>
      <w:r>
        <w:rPr>
          <w:rFonts w:ascii="仿宋" w:hAnsi="仿宋" w:eastAsia="仿宋"/>
          <w:sz w:val="28"/>
          <w:szCs w:val="28"/>
        </w:rPr>
        <w:t>/外汇投资策略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模块三：私募股权投资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1、私募股权投资行业发展概况；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、私募股权投资项目估值；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、私募股权投资策略与价值实现；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、私募股权运作与风险管理；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、金融市场及金融工具、资产组合；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模块四：财富管理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1、资产配置与财富管理模式；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、人民币国际化与海外资产配置；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、家族企业与财富传承；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4、财富管理规划与综合运用；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、信托对企业经营管理及家族财富管理的价值；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模块五：财务管理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1、公司财务管理与投资决策；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、财务报表分析与企业价值评估；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、财务数据在企业管理决策和财务风险管理中的运用；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、私募资本市场融资；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模块六：企业管理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1、企业资本发展战略与价值成长；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、企业并购重组；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3、战略创新领导力；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、传统文化与现代管理的艺术；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模块七：税务筹划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1、新经济形势下企业并购的税收筹划方向研究；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、新形势下企业税务筹划的风险与规避；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、税务稽查工作要点分析；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模块八：大数据与金融科技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1、大数据、区块链与金融科技；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、产业互联网与供应链金融；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、世界科技发展趋势与投资机遇分析（</w:t>
      </w:r>
      <w:r>
        <w:rPr>
          <w:rFonts w:ascii="仿宋" w:hAnsi="仿宋" w:eastAsia="仿宋"/>
          <w:sz w:val="28"/>
          <w:szCs w:val="28"/>
        </w:rPr>
        <w:t>5G 的市场前景）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、金融科技的发展趋势与监管；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模块九：房地产金融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1、房地产投资——趋势和问题；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、房地产投资——全球市场；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、房地产供应链开发资源整合的改革设想；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模块十：国学经典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1、道家哲学与解放思想；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2、国学与管理变革创新；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、国学经典与企业家管理智慧——曾国藩治理方略；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模块十一：其他学习平台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财政金融学院每年举办若干期高端论坛和讲堂，金融与战略管理研修班学员均可申请参加。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例如：“中国资本市场论坛”、“金融高端论坛”、“金融</w:t>
      </w:r>
      <w:r>
        <w:rPr>
          <w:rFonts w:ascii="仿宋" w:hAnsi="仿宋" w:eastAsia="仿宋"/>
          <w:sz w:val="28"/>
          <w:szCs w:val="28"/>
        </w:rPr>
        <w:t xml:space="preserve"> EMBA大讲堂”。金融与战略管理研修班学员如报名参加海外培训项目，可优先获得报名资格。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t>四、课程师资（排名不分先后）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贝多广，中国人民大学普惠金融研究院院长；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董平，浙江大学哲学系教授、博士生导师，浙江大学中国思想文化研究所所长；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仇保兴，曾任住房和城乡建设部副部长、党组成员；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邓郁松，国务院发展研究中心市场经济研究所副所长、研究员；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范恒山，国家发展和改革委员会原副秘书长；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宫玉振，北京大学国家发展研究院教授，BiMBA副院长兼学术委员会副主任；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黄朴民，中国人民大学国学院教授，《孙子兵法》研究著名学者；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江英，中国军事科学院研究员，博士生导师，正师职，大校军衔；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类承曜，中国人民大学财政金融学院党委副书记、教授；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李晓，中国政法大学商学院副院长教授，博士生导师；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瞿强，中国人民大学财政金融学院教授，财政金融政策研究中心主任；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饶钢，资深董秘CFO，香港中文大学会计硕土，复旦大学哲学研究生；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孙建波，南京大学经济学博士，中国银河证券首席策略分析师；现任中阅资本总经理；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孙茂竹，中国人民大学商学院教授、博士生导师；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谭松涛，中国人民大学财政金融学院副院长、教授；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王国刚，中国人民大学财政金融学院教授、中国社会科学院学部委员；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王晓毅，清华大学历史系教授、博士生导师。享受国务院"政府特殊津贴"；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夏斌，国务院参事室参事，国务院发展研究中心金融研究所名誉所长；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向松祚，中国人民大学国际货币研究所副所长；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岳树民，中国人民大学财政金融学院副院长、教授；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袁征，南开大学金融研究所世界经济硕士，曾先后任职中国银行、国泰君安证券、国民信托，后创办私募股权投资基金。十五年证券投资、投行经验，先后经手和参与了几十家企业的改制和发行上市工作。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张杰，中国经济改革与发展研究院教授、副院长；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张国刚，清华大学历史系教授、博士生导师，中国中外关系学会副会长，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周掌柜，中国商业生态战略理论开创者、中国人民大学商学院课程教授；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朱青，中国人民大学财政金融学院教授，中国国际税收研究会常务理事；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庄恩岳，中国信达资产管理股份有限公司副总裁；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庄毓敏，中国人民大学财政金融学院院长、教授；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b/>
          <w:bCs/>
          <w:sz w:val="28"/>
          <w:szCs w:val="28"/>
        </w:rPr>
        <w:t>、培训形式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、学费：6</w:t>
      </w:r>
      <w:r>
        <w:rPr>
          <w:rFonts w:ascii="仿宋" w:hAnsi="仿宋" w:eastAsia="仿宋"/>
          <w:sz w:val="28"/>
          <w:szCs w:val="28"/>
        </w:rPr>
        <w:t>8000</w:t>
      </w:r>
      <w:r>
        <w:rPr>
          <w:rFonts w:hint="eastAsia" w:ascii="仿宋" w:hAnsi="仿宋" w:eastAsia="仿宋"/>
          <w:sz w:val="28"/>
          <w:szCs w:val="28"/>
        </w:rPr>
        <w:t>元/人，</w:t>
      </w:r>
      <w:r>
        <w:rPr>
          <w:rFonts w:ascii="仿宋" w:hAnsi="仿宋" w:eastAsia="仿宋"/>
          <w:sz w:val="28"/>
          <w:szCs w:val="28"/>
        </w:rPr>
        <w:t>学制11个月（2月不上课），每月集中培训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天；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授课形式多样，包括课题讲授、案例分析与小组研讨等；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部分课程采取顾问式培训形式，现场解决学员在日常工作中遇到的实际问题；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全部课程经考核合格，统一颁发结业证书。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b/>
          <w:bCs/>
          <w:sz w:val="28"/>
          <w:szCs w:val="28"/>
        </w:rPr>
        <w:t>、时间地点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培训地点：中国人民大学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b/>
          <w:bCs/>
          <w:sz w:val="28"/>
          <w:szCs w:val="28"/>
        </w:rPr>
        <w:t>、报名流程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1、申请：递交正式的报名申请表，发送电子邮件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2、初审：由中国人民大学财政金融学院高管教育中心老师审核确定申请资格。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3、确认：学院老师向申请合格者发送报名确认邮件及付款通知，费用须在开课前全部缴清。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八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、关于证书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完成规定课程和活动，经考核合格者，由中国人民大学颁发结业证书。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/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金融与战略管理高级研修班报名表</w:t>
      </w:r>
    </w:p>
    <w:p/>
    <w:tbl>
      <w:tblPr>
        <w:tblStyle w:val="5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620"/>
        <w:gridCol w:w="1410"/>
        <w:gridCol w:w="1680"/>
        <w:gridCol w:w="1125"/>
        <w:gridCol w:w="309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性    别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民    族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身份证号</w:t>
            </w:r>
          </w:p>
        </w:tc>
        <w:tc>
          <w:tcPr>
            <w:tcW w:w="471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最高学历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公司全称</w:t>
            </w:r>
          </w:p>
        </w:tc>
        <w:tc>
          <w:tcPr>
            <w:tcW w:w="7356" w:type="dxa"/>
            <w:gridSpan w:val="6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通信地址</w:t>
            </w:r>
          </w:p>
        </w:tc>
        <w:tc>
          <w:tcPr>
            <w:tcW w:w="4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邮政编码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9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办公电话</w:t>
            </w:r>
          </w:p>
        </w:tc>
        <w:tc>
          <w:tcPr>
            <w:tcW w:w="303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办公传真</w:t>
            </w:r>
          </w:p>
        </w:tc>
        <w:tc>
          <w:tcPr>
            <w:tcW w:w="2646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9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手机号码</w:t>
            </w:r>
          </w:p>
        </w:tc>
        <w:tc>
          <w:tcPr>
            <w:tcW w:w="303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电子邮件</w:t>
            </w:r>
          </w:p>
        </w:tc>
        <w:tc>
          <w:tcPr>
            <w:tcW w:w="2646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9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职    务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注册资金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34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年营业额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79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单位性质</w:t>
            </w:r>
          </w:p>
        </w:tc>
        <w:tc>
          <w:tcPr>
            <w:tcW w:w="7356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60" w:lineRule="exac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□ 事业单位     □  国有企业     □ 民营企业     □ 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93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60" w:lineRule="exact"/>
              <w:jc w:val="lef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经营项目（产品）：</w:t>
            </w:r>
          </w:p>
          <w:p>
            <w:pPr>
              <w:tabs>
                <w:tab w:val="left" w:pos="3600"/>
              </w:tabs>
              <w:spacing w:line="360" w:lineRule="exact"/>
              <w:jc w:val="lef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公司网址：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tabs>
                <w:tab w:val="left" w:pos="3240"/>
              </w:tabs>
              <w:spacing w:line="380" w:lineRule="exact"/>
              <w:jc w:val="left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年月-年月</w:t>
            </w:r>
          </w:p>
        </w:tc>
        <w:tc>
          <w:tcPr>
            <w:tcW w:w="5835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工作单位及任职部门</w:t>
            </w:r>
          </w:p>
        </w:tc>
        <w:tc>
          <w:tcPr>
            <w:tcW w:w="1521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5835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1521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5835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1521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5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汇款信息</w:t>
            </w:r>
          </w:p>
        </w:tc>
        <w:tc>
          <w:tcPr>
            <w:tcW w:w="7356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    名：</w:t>
            </w:r>
            <w:r>
              <w:rPr>
                <w:rFonts w:ascii="宋体" w:hAnsi="宋体" w:eastAsia="宋体" w:cs="宋体"/>
                <w:sz w:val="24"/>
                <w:szCs w:val="24"/>
              </w:rPr>
              <w:t>中国人民大学</w:t>
            </w:r>
          </w:p>
          <w:p>
            <w:pPr>
              <w:spacing w:line="320" w:lineRule="exact"/>
              <w:jc w:val="lef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开 户 行：</w:t>
            </w:r>
            <w:r>
              <w:rPr>
                <w:rFonts w:ascii="宋体" w:hAnsi="宋体" w:eastAsia="宋体" w:cs="宋体"/>
                <w:sz w:val="24"/>
                <w:szCs w:val="24"/>
              </w:rPr>
              <w:t>中国工商银行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北京</w:t>
            </w:r>
            <w:r>
              <w:rPr>
                <w:rFonts w:ascii="宋体" w:hAnsi="宋体" w:eastAsia="宋体" w:cs="宋体"/>
                <w:sz w:val="24"/>
                <w:szCs w:val="24"/>
              </w:rPr>
              <w:t>紫竹院支行</w:t>
            </w:r>
          </w:p>
          <w:p>
            <w:pPr>
              <w:spacing w:line="320" w:lineRule="exact"/>
              <w:jc w:val="left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帐    号：</w:t>
            </w:r>
            <w:r>
              <w:rPr>
                <w:rFonts w:ascii="宋体" w:hAnsi="宋体" w:eastAsia="宋体" w:cs="宋体"/>
                <w:sz w:val="24"/>
                <w:szCs w:val="24"/>
              </w:rPr>
              <w:t>0200 0076 0902 6400 244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用    途：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中国人民大学财政金融学院金融与战略管理高级研修班(某</w:t>
            </w:r>
          </w:p>
          <w:p>
            <w:pPr>
              <w:spacing w:line="320" w:lineRule="exact"/>
              <w:ind w:firstLine="1080" w:firstLineChars="4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某)培训费</w:t>
            </w:r>
          </w:p>
          <w:p>
            <w:pPr>
              <w:spacing w:line="320" w:lineRule="exact"/>
              <w:jc w:val="left"/>
            </w:pPr>
            <w:r>
              <w:rPr>
                <w:rFonts w:hint="eastAsia"/>
                <w:b/>
                <w:bCs/>
              </w:rPr>
              <w:t>特别说明</w:t>
            </w:r>
            <w:r>
              <w:rPr>
                <w:rFonts w:hint="eastAsia"/>
              </w:rPr>
              <w:t>：汇款后请将汇款凭证复印件发送给招生老师，</w:t>
            </w:r>
          </w:p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          学校收到传真后学校将统一开据中国人民大学发票。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8935" w:type="dxa"/>
            <w:gridSpan w:val="7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黑体" w:eastAsia="黑体"/>
                <w:sz w:val="24"/>
              </w:rPr>
              <w:t>您的建议与需求</w:t>
            </w:r>
            <w:r>
              <w:rPr>
                <w:rFonts w:hint="eastAsia"/>
                <w:b/>
                <w:bCs/>
              </w:rPr>
              <w:t>: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/>
              </w:rPr>
              <w:t>签名：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/>
              </w:rPr>
              <w:t>填表日期：     年  月  日</w:t>
            </w:r>
          </w:p>
        </w:tc>
      </w:tr>
    </w:tbl>
    <w:p>
      <w:pPr>
        <w:wordWrap w:val="0"/>
        <w:adjustRightInd w:val="0"/>
        <w:snapToGrid w:val="0"/>
        <w:jc w:val="right"/>
      </w:pPr>
      <w:r>
        <w:rPr>
          <w:rFonts w:hint="eastAsia"/>
        </w:rPr>
        <w:t>本页复印有效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5AB6"/>
    <w:rsid w:val="0010443A"/>
    <w:rsid w:val="001B56D0"/>
    <w:rsid w:val="00382656"/>
    <w:rsid w:val="00663E89"/>
    <w:rsid w:val="006D0C6F"/>
    <w:rsid w:val="009C6DCE"/>
    <w:rsid w:val="00AC3BAA"/>
    <w:rsid w:val="00AE003A"/>
    <w:rsid w:val="00C05AB6"/>
    <w:rsid w:val="00C37697"/>
    <w:rsid w:val="00DB7BEA"/>
    <w:rsid w:val="00DC650C"/>
    <w:rsid w:val="00E12D75"/>
    <w:rsid w:val="173E25BB"/>
    <w:rsid w:val="18687E65"/>
    <w:rsid w:val="2B624EFD"/>
    <w:rsid w:val="720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358</Words>
  <Characters>2041</Characters>
  <Lines>17</Lines>
  <Paragraphs>4</Paragraphs>
  <TotalTime>32</TotalTime>
  <ScaleCrop>false</ScaleCrop>
  <LinksUpToDate>false</LinksUpToDate>
  <CharactersWithSpaces>2395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2019-12-09T09:57:00Z</dcterms:created>
  <dc:creator>Teng</dc:creator>
  <cp:lastModifiedBy>Administrator</cp:lastModifiedBy>
  <dcterms:modified xsi:type="dcterms:W3CDTF">2019-12-17T05:29:14Z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