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菲律宾女子大学艺术与设计硕士招生简章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艺术与设计硕士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in Fine Arts and Design</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144"/>
        <w:gridCol w:w="523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菲律宾女子大学艺术与设计硕士课程安排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376"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restart"/>
          </w:tcPr>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艺术与设计硕士</w:t>
            </w:r>
          </w:p>
        </w:tc>
        <w:tc>
          <w:tcPr>
            <w:tcW w:w="1144"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The Visiting Designer Forum</w:t>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Arial"/>
                <w:sz w:val="24"/>
                <w:szCs w:val="24"/>
                <w:shd w:val="clear" w:color="auto" w:fill="FFFFFF"/>
              </w:rPr>
              <w:t>居住论坛设计师</w:t>
            </w:r>
          </w:p>
        </w:tc>
        <w:tc>
          <w:tcPr>
            <w:tcW w:w="820"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261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The Designer in Residence Forum</w:t>
            </w:r>
          </w:p>
          <w:p>
            <w:pPr>
              <w:widowControl/>
              <w:tabs>
                <w:tab w:val="left" w:pos="261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个人研究</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Individual Studies</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合作实验室</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restart"/>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Co-Lab</w:t>
            </w:r>
          </w:p>
          <w:p>
            <w:pPr>
              <w:widowControl/>
              <w:tabs>
                <w:tab w:val="left" w:pos="3030"/>
              </w:tabs>
              <w:spacing w:line="375" w:lineRule="atLeast"/>
              <w:jc w:val="center"/>
              <w:rPr>
                <w:rFonts w:ascii="微软雅黑" w:hAnsi="微软雅黑" w:eastAsia="微软雅黑"/>
                <w:color w:val="000000"/>
                <w:sz w:val="24"/>
                <w:szCs w:val="24"/>
              </w:rPr>
            </w:pPr>
            <w:r>
              <w:rPr>
                <w:rFonts w:ascii="微软雅黑" w:hAnsi="微软雅黑" w:eastAsia="微软雅黑" w:cs="Arial"/>
                <w:sz w:val="24"/>
                <w:szCs w:val="24"/>
                <w:shd w:val="clear" w:color="auto" w:fill="FFFFFF"/>
              </w:rPr>
              <w:t>客座设计师论坛</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spacing w:line="330" w:lineRule="atLeast"/>
              <w:jc w:val="center"/>
              <w:rPr>
                <w:rFonts w:ascii="微软雅黑" w:hAnsi="微软雅黑" w:eastAsia="微软雅黑" w:cs="Arial"/>
                <w:color w:val="000000"/>
                <w:sz w:val="24"/>
                <w:szCs w:val="24"/>
              </w:rPr>
            </w:pPr>
            <w:r>
              <w:rPr>
                <w:rFonts w:ascii="微软雅黑" w:hAnsi="微软雅黑" w:eastAsia="微软雅黑" w:cs="Arial"/>
                <w:color w:val="000000"/>
                <w:sz w:val="24"/>
                <w:szCs w:val="24"/>
              </w:rPr>
              <w:t>Contemporary Issues in Design and Design Theory</w:t>
            </w:r>
          </w:p>
          <w:p>
            <w:pPr>
              <w:widowControl/>
              <w:tabs>
                <w:tab w:val="left" w:pos="3030"/>
              </w:tabs>
              <w:spacing w:line="375" w:lineRule="atLeast"/>
              <w:jc w:val="center"/>
              <w:rPr>
                <w:rFonts w:ascii="微软雅黑" w:hAnsi="微软雅黑" w:eastAsia="微软雅黑"/>
                <w:color w:val="000000"/>
                <w:sz w:val="24"/>
                <w:szCs w:val="24"/>
              </w:rPr>
            </w:pPr>
            <w:r>
              <w:rPr>
                <w:rFonts w:ascii="微软雅黑" w:hAnsi="微软雅黑" w:eastAsia="微软雅黑" w:cs="Arial"/>
                <w:sz w:val="24"/>
                <w:szCs w:val="24"/>
                <w:shd w:val="clear" w:color="auto" w:fill="FFFFFF"/>
              </w:rPr>
              <w:t>设计与设计理论的当代问题</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Design Pedagogy</w:t>
            </w:r>
          </w:p>
          <w:p>
            <w:pPr>
              <w:widowControl/>
              <w:tabs>
                <w:tab w:val="left" w:pos="3030"/>
              </w:tabs>
              <w:spacing w:line="375" w:lineRule="atLeast"/>
              <w:jc w:val="center"/>
              <w:rPr>
                <w:rFonts w:ascii="微软雅黑" w:hAnsi="微软雅黑" w:eastAsia="微软雅黑"/>
                <w:color w:val="000000"/>
                <w:sz w:val="24"/>
                <w:szCs w:val="24"/>
              </w:rPr>
            </w:pPr>
            <w:r>
              <w:rPr>
                <w:rFonts w:ascii="微软雅黑" w:hAnsi="微软雅黑" w:eastAsia="微软雅黑" w:cs="Arial"/>
                <w:sz w:val="24"/>
                <w:szCs w:val="24"/>
                <w:shd w:val="clear" w:color="auto" w:fill="FFFFFF"/>
              </w:rPr>
              <w:t>设计教学法</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Field Internship Experience</w:t>
            </w:r>
          </w:p>
          <w:p>
            <w:pPr>
              <w:widowControl/>
              <w:tabs>
                <w:tab w:val="left" w:pos="3030"/>
              </w:tabs>
              <w:spacing w:line="375" w:lineRule="atLeast"/>
              <w:jc w:val="center"/>
              <w:rPr>
                <w:rFonts w:ascii="微软雅黑" w:hAnsi="微软雅黑" w:eastAsia="微软雅黑"/>
                <w:color w:val="000000"/>
                <w:sz w:val="24"/>
                <w:szCs w:val="24"/>
              </w:rPr>
            </w:pPr>
            <w:r>
              <w:rPr>
                <w:rFonts w:ascii="微软雅黑" w:hAnsi="微软雅黑" w:eastAsia="微软雅黑" w:cs="Arial"/>
                <w:sz w:val="24"/>
                <w:szCs w:val="24"/>
                <w:shd w:val="clear" w:color="auto" w:fill="FFFFFF"/>
              </w:rPr>
              <w:t>现场实习经验</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Global Art and Design and other elective courses</w:t>
            </w:r>
          </w:p>
          <w:p>
            <w:pPr>
              <w:widowControl/>
              <w:tabs>
                <w:tab w:val="left" w:pos="3030"/>
              </w:tabs>
              <w:spacing w:line="375" w:lineRule="atLeast"/>
              <w:jc w:val="center"/>
              <w:rPr>
                <w:rFonts w:ascii="微软雅黑" w:hAnsi="微软雅黑" w:eastAsia="微软雅黑"/>
                <w:color w:val="000000"/>
                <w:sz w:val="24"/>
                <w:szCs w:val="24"/>
              </w:rPr>
            </w:pPr>
            <w:r>
              <w:rPr>
                <w:rFonts w:ascii="微软雅黑" w:hAnsi="微软雅黑" w:eastAsia="微软雅黑" w:cs="Arial"/>
                <w:sz w:val="24"/>
                <w:szCs w:val="24"/>
                <w:shd w:val="clear" w:color="auto" w:fill="FFFFFF"/>
              </w:rPr>
              <w:t>全球艺术与设计及其他选修课程</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5232"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论文</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5232" w:type="dxa"/>
          </w:tcPr>
          <w:p>
            <w:pPr>
              <w:widowControl/>
              <w:spacing w:line="375" w:lineRule="atLeast"/>
              <w:jc w:val="center"/>
              <w:rPr>
                <w:rStyle w:val="9"/>
                <w:rFonts w:ascii="Arial" w:hAnsi="Arial" w:cs="Arial"/>
                <w:b w:val="0"/>
                <w:color w:val="333333"/>
                <w:sz w:val="26"/>
                <w:szCs w:val="26"/>
                <w:shd w:val="clear" w:color="auto" w:fill="FFFFFF"/>
              </w:rPr>
            </w:pP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712B4"/>
    <w:rsid w:val="00083259"/>
    <w:rsid w:val="00090B88"/>
    <w:rsid w:val="000A768F"/>
    <w:rsid w:val="000B45C5"/>
    <w:rsid w:val="000B7278"/>
    <w:rsid w:val="000D15D2"/>
    <w:rsid w:val="000E149D"/>
    <w:rsid w:val="000F1462"/>
    <w:rsid w:val="00113AD2"/>
    <w:rsid w:val="001272E2"/>
    <w:rsid w:val="001447C6"/>
    <w:rsid w:val="00146DE5"/>
    <w:rsid w:val="00152FBC"/>
    <w:rsid w:val="00154D41"/>
    <w:rsid w:val="00156763"/>
    <w:rsid w:val="00161893"/>
    <w:rsid w:val="00170539"/>
    <w:rsid w:val="001713FC"/>
    <w:rsid w:val="00176CA1"/>
    <w:rsid w:val="00180A54"/>
    <w:rsid w:val="001947BD"/>
    <w:rsid w:val="001A1203"/>
    <w:rsid w:val="001A1676"/>
    <w:rsid w:val="001A3648"/>
    <w:rsid w:val="001B355D"/>
    <w:rsid w:val="001C1397"/>
    <w:rsid w:val="001D6443"/>
    <w:rsid w:val="001F076E"/>
    <w:rsid w:val="00204A63"/>
    <w:rsid w:val="00206EF8"/>
    <w:rsid w:val="00236F68"/>
    <w:rsid w:val="00240D53"/>
    <w:rsid w:val="002432F8"/>
    <w:rsid w:val="002466B5"/>
    <w:rsid w:val="00251714"/>
    <w:rsid w:val="002665EB"/>
    <w:rsid w:val="0027007A"/>
    <w:rsid w:val="0027521C"/>
    <w:rsid w:val="002853ED"/>
    <w:rsid w:val="002938CC"/>
    <w:rsid w:val="002942B6"/>
    <w:rsid w:val="002952AA"/>
    <w:rsid w:val="00296472"/>
    <w:rsid w:val="002A3903"/>
    <w:rsid w:val="002A4F5D"/>
    <w:rsid w:val="002A60F0"/>
    <w:rsid w:val="002B0285"/>
    <w:rsid w:val="002B4473"/>
    <w:rsid w:val="002B7867"/>
    <w:rsid w:val="002C18E9"/>
    <w:rsid w:val="002C1A19"/>
    <w:rsid w:val="002C2E8B"/>
    <w:rsid w:val="002E266F"/>
    <w:rsid w:val="002E6FBD"/>
    <w:rsid w:val="002F38F4"/>
    <w:rsid w:val="002F7A3E"/>
    <w:rsid w:val="00300FDE"/>
    <w:rsid w:val="003015AF"/>
    <w:rsid w:val="00307AA2"/>
    <w:rsid w:val="00310C53"/>
    <w:rsid w:val="003133C6"/>
    <w:rsid w:val="00315C8E"/>
    <w:rsid w:val="00316EE3"/>
    <w:rsid w:val="00317358"/>
    <w:rsid w:val="00321A03"/>
    <w:rsid w:val="00335959"/>
    <w:rsid w:val="00341D54"/>
    <w:rsid w:val="003500F7"/>
    <w:rsid w:val="00357C20"/>
    <w:rsid w:val="003616A3"/>
    <w:rsid w:val="00364176"/>
    <w:rsid w:val="00375FA2"/>
    <w:rsid w:val="00393843"/>
    <w:rsid w:val="003A5A45"/>
    <w:rsid w:val="003A792F"/>
    <w:rsid w:val="003B1B5D"/>
    <w:rsid w:val="003B37A9"/>
    <w:rsid w:val="003B4A7E"/>
    <w:rsid w:val="003C5793"/>
    <w:rsid w:val="00427DA0"/>
    <w:rsid w:val="004333EE"/>
    <w:rsid w:val="0044352C"/>
    <w:rsid w:val="00451A71"/>
    <w:rsid w:val="004556BC"/>
    <w:rsid w:val="00456363"/>
    <w:rsid w:val="00460B88"/>
    <w:rsid w:val="00462CDF"/>
    <w:rsid w:val="00463F36"/>
    <w:rsid w:val="00466CFA"/>
    <w:rsid w:val="00473CB5"/>
    <w:rsid w:val="00482932"/>
    <w:rsid w:val="00483994"/>
    <w:rsid w:val="0049622B"/>
    <w:rsid w:val="004A0794"/>
    <w:rsid w:val="004A158F"/>
    <w:rsid w:val="004A7695"/>
    <w:rsid w:val="004B7EDB"/>
    <w:rsid w:val="004C0AF5"/>
    <w:rsid w:val="004C17D8"/>
    <w:rsid w:val="004C5C90"/>
    <w:rsid w:val="004C7DA8"/>
    <w:rsid w:val="004F17A5"/>
    <w:rsid w:val="0054010E"/>
    <w:rsid w:val="00542600"/>
    <w:rsid w:val="00550385"/>
    <w:rsid w:val="005559A1"/>
    <w:rsid w:val="00564E82"/>
    <w:rsid w:val="00565DE4"/>
    <w:rsid w:val="00567FED"/>
    <w:rsid w:val="005707F1"/>
    <w:rsid w:val="005727BA"/>
    <w:rsid w:val="00573157"/>
    <w:rsid w:val="005749D6"/>
    <w:rsid w:val="005750CE"/>
    <w:rsid w:val="00580646"/>
    <w:rsid w:val="005870EA"/>
    <w:rsid w:val="005954D0"/>
    <w:rsid w:val="005B0DB5"/>
    <w:rsid w:val="005F6D4E"/>
    <w:rsid w:val="00600D10"/>
    <w:rsid w:val="00602F7E"/>
    <w:rsid w:val="006071EA"/>
    <w:rsid w:val="00610FE1"/>
    <w:rsid w:val="006123FA"/>
    <w:rsid w:val="00617828"/>
    <w:rsid w:val="00620C05"/>
    <w:rsid w:val="006243DE"/>
    <w:rsid w:val="0063515F"/>
    <w:rsid w:val="0063768A"/>
    <w:rsid w:val="00640068"/>
    <w:rsid w:val="0064514D"/>
    <w:rsid w:val="00647A27"/>
    <w:rsid w:val="0065086A"/>
    <w:rsid w:val="00660CBA"/>
    <w:rsid w:val="0066517C"/>
    <w:rsid w:val="00677C3D"/>
    <w:rsid w:val="00677FC6"/>
    <w:rsid w:val="0068379B"/>
    <w:rsid w:val="00696C79"/>
    <w:rsid w:val="006979BA"/>
    <w:rsid w:val="006A4229"/>
    <w:rsid w:val="006B1E65"/>
    <w:rsid w:val="006B7076"/>
    <w:rsid w:val="006C0916"/>
    <w:rsid w:val="006D55CA"/>
    <w:rsid w:val="006F1859"/>
    <w:rsid w:val="006F21D7"/>
    <w:rsid w:val="007009CC"/>
    <w:rsid w:val="007030D4"/>
    <w:rsid w:val="00703EAC"/>
    <w:rsid w:val="00705C5C"/>
    <w:rsid w:val="007122FD"/>
    <w:rsid w:val="007148CA"/>
    <w:rsid w:val="00716583"/>
    <w:rsid w:val="00722187"/>
    <w:rsid w:val="0072436E"/>
    <w:rsid w:val="0072498B"/>
    <w:rsid w:val="007344BA"/>
    <w:rsid w:val="00734C9F"/>
    <w:rsid w:val="00747DA3"/>
    <w:rsid w:val="00754F09"/>
    <w:rsid w:val="00766550"/>
    <w:rsid w:val="00780445"/>
    <w:rsid w:val="007B5770"/>
    <w:rsid w:val="007B7236"/>
    <w:rsid w:val="007C016B"/>
    <w:rsid w:val="007C454F"/>
    <w:rsid w:val="007C4ECC"/>
    <w:rsid w:val="007D1273"/>
    <w:rsid w:val="007D2B55"/>
    <w:rsid w:val="007D64FD"/>
    <w:rsid w:val="007F3057"/>
    <w:rsid w:val="00802E9A"/>
    <w:rsid w:val="00803A6D"/>
    <w:rsid w:val="0082123B"/>
    <w:rsid w:val="00822F8F"/>
    <w:rsid w:val="00824292"/>
    <w:rsid w:val="00825E3A"/>
    <w:rsid w:val="008532EC"/>
    <w:rsid w:val="008533CF"/>
    <w:rsid w:val="008809A5"/>
    <w:rsid w:val="00880AA1"/>
    <w:rsid w:val="0088186D"/>
    <w:rsid w:val="008873F7"/>
    <w:rsid w:val="008A3D91"/>
    <w:rsid w:val="008C1FE5"/>
    <w:rsid w:val="008C2E6E"/>
    <w:rsid w:val="008D161F"/>
    <w:rsid w:val="008D1829"/>
    <w:rsid w:val="008F2193"/>
    <w:rsid w:val="00901336"/>
    <w:rsid w:val="00927369"/>
    <w:rsid w:val="0093011A"/>
    <w:rsid w:val="00944242"/>
    <w:rsid w:val="00944952"/>
    <w:rsid w:val="00950E72"/>
    <w:rsid w:val="009578E9"/>
    <w:rsid w:val="009620B1"/>
    <w:rsid w:val="009665C4"/>
    <w:rsid w:val="00967E76"/>
    <w:rsid w:val="00973D96"/>
    <w:rsid w:val="0097650A"/>
    <w:rsid w:val="009772A7"/>
    <w:rsid w:val="00984ED7"/>
    <w:rsid w:val="00985762"/>
    <w:rsid w:val="009A47CD"/>
    <w:rsid w:val="009A6EC1"/>
    <w:rsid w:val="009B5985"/>
    <w:rsid w:val="009B5B52"/>
    <w:rsid w:val="009C3CA5"/>
    <w:rsid w:val="009C72BC"/>
    <w:rsid w:val="009C7C8F"/>
    <w:rsid w:val="009D0AF3"/>
    <w:rsid w:val="009D62BE"/>
    <w:rsid w:val="009E5F9C"/>
    <w:rsid w:val="009E7AF9"/>
    <w:rsid w:val="009F00F1"/>
    <w:rsid w:val="009F09F7"/>
    <w:rsid w:val="009F1E48"/>
    <w:rsid w:val="009F302B"/>
    <w:rsid w:val="009F444D"/>
    <w:rsid w:val="009F5489"/>
    <w:rsid w:val="00A0032E"/>
    <w:rsid w:val="00A0360B"/>
    <w:rsid w:val="00A136BA"/>
    <w:rsid w:val="00A2201A"/>
    <w:rsid w:val="00A31545"/>
    <w:rsid w:val="00A33D1F"/>
    <w:rsid w:val="00A36290"/>
    <w:rsid w:val="00A4267E"/>
    <w:rsid w:val="00A50F08"/>
    <w:rsid w:val="00A51201"/>
    <w:rsid w:val="00A73077"/>
    <w:rsid w:val="00A83060"/>
    <w:rsid w:val="00A91D3E"/>
    <w:rsid w:val="00A9261E"/>
    <w:rsid w:val="00AA0A03"/>
    <w:rsid w:val="00AA10B4"/>
    <w:rsid w:val="00AA1562"/>
    <w:rsid w:val="00AA21C2"/>
    <w:rsid w:val="00AA4FD9"/>
    <w:rsid w:val="00AB096B"/>
    <w:rsid w:val="00AB5092"/>
    <w:rsid w:val="00AD22D1"/>
    <w:rsid w:val="00AD4690"/>
    <w:rsid w:val="00AE3FC3"/>
    <w:rsid w:val="00AF06FD"/>
    <w:rsid w:val="00AF1069"/>
    <w:rsid w:val="00AF1CED"/>
    <w:rsid w:val="00AF400E"/>
    <w:rsid w:val="00B158F2"/>
    <w:rsid w:val="00B213FB"/>
    <w:rsid w:val="00B24BA5"/>
    <w:rsid w:val="00B37AEF"/>
    <w:rsid w:val="00B41D26"/>
    <w:rsid w:val="00B57FF5"/>
    <w:rsid w:val="00B60F5D"/>
    <w:rsid w:val="00B76919"/>
    <w:rsid w:val="00B820C2"/>
    <w:rsid w:val="00B928BA"/>
    <w:rsid w:val="00BA07BB"/>
    <w:rsid w:val="00BA0FD8"/>
    <w:rsid w:val="00BA21C0"/>
    <w:rsid w:val="00BB58E4"/>
    <w:rsid w:val="00BC4F83"/>
    <w:rsid w:val="00BC693B"/>
    <w:rsid w:val="00BD51E4"/>
    <w:rsid w:val="00BE0A79"/>
    <w:rsid w:val="00BE3E25"/>
    <w:rsid w:val="00C04AF8"/>
    <w:rsid w:val="00C11E7A"/>
    <w:rsid w:val="00C133D6"/>
    <w:rsid w:val="00C216C7"/>
    <w:rsid w:val="00C23E54"/>
    <w:rsid w:val="00C24493"/>
    <w:rsid w:val="00C301C2"/>
    <w:rsid w:val="00C36737"/>
    <w:rsid w:val="00C46CA1"/>
    <w:rsid w:val="00C62071"/>
    <w:rsid w:val="00C62F20"/>
    <w:rsid w:val="00C77F0D"/>
    <w:rsid w:val="00C878A2"/>
    <w:rsid w:val="00C9445C"/>
    <w:rsid w:val="00CA13B9"/>
    <w:rsid w:val="00CA1D84"/>
    <w:rsid w:val="00CA4577"/>
    <w:rsid w:val="00CC035F"/>
    <w:rsid w:val="00CC0E89"/>
    <w:rsid w:val="00CC1D5F"/>
    <w:rsid w:val="00CC2012"/>
    <w:rsid w:val="00CC436E"/>
    <w:rsid w:val="00CC4633"/>
    <w:rsid w:val="00CE18DB"/>
    <w:rsid w:val="00CE7318"/>
    <w:rsid w:val="00D01CA8"/>
    <w:rsid w:val="00D1702A"/>
    <w:rsid w:val="00D37870"/>
    <w:rsid w:val="00D44587"/>
    <w:rsid w:val="00D46C28"/>
    <w:rsid w:val="00D46F61"/>
    <w:rsid w:val="00D757FB"/>
    <w:rsid w:val="00D75FEF"/>
    <w:rsid w:val="00D91469"/>
    <w:rsid w:val="00D930E7"/>
    <w:rsid w:val="00D96E84"/>
    <w:rsid w:val="00DB25EA"/>
    <w:rsid w:val="00DB7E1B"/>
    <w:rsid w:val="00DC1A6A"/>
    <w:rsid w:val="00DE1EDD"/>
    <w:rsid w:val="00DE4D93"/>
    <w:rsid w:val="00DF1AE3"/>
    <w:rsid w:val="00DF1AFB"/>
    <w:rsid w:val="00DF5158"/>
    <w:rsid w:val="00E0063C"/>
    <w:rsid w:val="00E20163"/>
    <w:rsid w:val="00E20FE9"/>
    <w:rsid w:val="00E22D37"/>
    <w:rsid w:val="00E4612C"/>
    <w:rsid w:val="00E51F41"/>
    <w:rsid w:val="00E53ED9"/>
    <w:rsid w:val="00E56FDF"/>
    <w:rsid w:val="00E57927"/>
    <w:rsid w:val="00E57C03"/>
    <w:rsid w:val="00E64AAA"/>
    <w:rsid w:val="00E71453"/>
    <w:rsid w:val="00E71EF7"/>
    <w:rsid w:val="00EC7E2C"/>
    <w:rsid w:val="00EE1957"/>
    <w:rsid w:val="00EF0860"/>
    <w:rsid w:val="00F02563"/>
    <w:rsid w:val="00F11391"/>
    <w:rsid w:val="00F161DB"/>
    <w:rsid w:val="00F514E3"/>
    <w:rsid w:val="00F51914"/>
    <w:rsid w:val="00F536EC"/>
    <w:rsid w:val="00F568E7"/>
    <w:rsid w:val="00F6705A"/>
    <w:rsid w:val="00F720EF"/>
    <w:rsid w:val="00F76F00"/>
    <w:rsid w:val="00F90658"/>
    <w:rsid w:val="00FA002A"/>
    <w:rsid w:val="00FA1DDA"/>
    <w:rsid w:val="00FA5734"/>
    <w:rsid w:val="00FA7626"/>
    <w:rsid w:val="00FB6B34"/>
    <w:rsid w:val="00FD219A"/>
    <w:rsid w:val="00FD5937"/>
    <w:rsid w:val="00FD6544"/>
    <w:rsid w:val="00FE0293"/>
    <w:rsid w:val="00FE73A6"/>
    <w:rsid w:val="00FE7DDD"/>
    <w:rsid w:val="00FF4E70"/>
    <w:rsid w:val="094E39C6"/>
    <w:rsid w:val="0A7A4453"/>
    <w:rsid w:val="41047CE2"/>
    <w:rsid w:val="597817EE"/>
    <w:rsid w:val="744F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481</Words>
  <Characters>2748</Characters>
  <Lines>22</Lines>
  <Paragraphs>6</Paragraphs>
  <TotalTime>695</TotalTime>
  <ScaleCrop>false</ScaleCrop>
  <LinksUpToDate>false</LinksUpToDate>
  <CharactersWithSpaces>3223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2021-05-31T08:34:41Z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