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cs="宋体"/>
          <w:b/>
          <w:bCs/>
          <w:color w:val="FF0000"/>
          <w:w w:val="80"/>
          <w:sz w:val="96"/>
          <w:szCs w:val="96"/>
        </w:rPr>
      </w:pPr>
      <w:bookmarkStart w:id="1" w:name="_GoBack"/>
      <w:bookmarkEnd w:id="1"/>
      <w:r>
        <w:rPr>
          <w:rFonts w:hint="eastAsia" w:ascii="仿宋" w:hAnsi="仿宋" w:eastAsia="仿宋" w:cs="仿宋"/>
          <w:b/>
          <w:bCs/>
          <w:color w:val="FF0000"/>
          <w:w w:val="80"/>
          <w:sz w:val="84"/>
          <w:szCs w:val="84"/>
        </w:rPr>
        <w:t>中国国际工程咨询协会文件</w:t>
      </w:r>
    </w:p>
    <w:p>
      <w:pPr>
        <w:ind w:right="600"/>
        <w:jc w:val="center"/>
        <w:rPr>
          <w:rFonts w:ascii="仿宋" w:hAnsi="仿宋" w:eastAsia="仿宋"/>
          <w:sz w:val="30"/>
          <w:szCs w:val="30"/>
        </w:rPr>
      </w:pPr>
      <w:r>
        <w:rPr>
          <w:rFonts w:hint="eastAsia" w:ascii="仿宋" w:hAnsi="仿宋" w:eastAsia="仿宋"/>
          <w:sz w:val="30"/>
          <w:szCs w:val="30"/>
        </w:rPr>
        <w:t>国咨协［2022］54号</w:t>
      </w:r>
    </w:p>
    <w:p>
      <w:pPr>
        <w:ind w:right="600"/>
        <w:rPr>
          <w:rFonts w:ascii="仿宋" w:hAnsi="仿宋" w:eastAsia="仿宋" w:cs="仿宋_GB2312"/>
          <w:sz w:val="30"/>
          <w:szCs w:val="30"/>
        </w:rPr>
      </w:pPr>
      <w:r>
        <w:rPr>
          <w:rFonts w:ascii="仿宋" w:hAnsi="仿宋" w:eastAsia="仿宋"/>
          <w:lang w:val="en-US" w:eastAsia="zh-CN"/>
        </w:rPr>
        <mc:AlternateContent>
          <mc:Choice Requires="wps">
            <w:drawing>
              <wp:anchor distT="0" distB="0" distL="114300" distR="114300" simplePos="0" relativeHeight="251660288" behindDoc="0" locked="0" layoutInCell="1" allowOverlap="1">
                <wp:simplePos x="0" y="0"/>
                <wp:positionH relativeFrom="column">
                  <wp:posOffset>-221615</wp:posOffset>
                </wp:positionH>
                <wp:positionV relativeFrom="paragraph">
                  <wp:posOffset>83820</wp:posOffset>
                </wp:positionV>
                <wp:extent cx="6145530" cy="0"/>
                <wp:effectExtent l="0" t="9525" r="7620" b="9525"/>
                <wp:wrapNone/>
                <wp:docPr id="2" name="直线 2"/>
                <wp:cNvGraphicFramePr/>
                <a:graphic xmlns:a="http://schemas.openxmlformats.org/drawingml/2006/main">
                  <a:graphicData uri="http://schemas.microsoft.com/office/word/2010/wordprocessingShape">
                    <wps:wsp>
                      <wps:cNvCnPr/>
                      <wps:spPr>
                        <a:xfrm>
                          <a:off x="0" y="0"/>
                          <a:ext cx="6145530" cy="0"/>
                        </a:xfrm>
                        <a:prstGeom prst="line">
                          <a:avLst/>
                        </a:prstGeom>
                        <a:ln w="19050" cap="flat" cmpd="sng">
                          <a:solidFill>
                            <a:srgbClr val="FF0000"/>
                          </a:solidFill>
                          <a:prstDash val="solid"/>
                          <a:headEnd type="none" w="med" len="med"/>
                          <a:tailEnd type="none" w="med" len="med"/>
                        </a:ln>
                        <a:effectLst/>
                      </wps:spPr>
                      <wps:bodyPr/>
                    </wps:wsp>
                  </a:graphicData>
                </a:graphic>
              </wp:anchor>
            </w:drawing>
          </mc:Choice>
          <mc:Fallback>
            <w:pict>
              <v:line id="直线 2" o:spid="_x0000_s1026" o:spt="20" style="position:absolute;left:0pt;margin-left:-17.45pt;margin-top:6.6pt;height:0pt;width:483.9pt;z-index:251660288;mso-width-relative:page;mso-height-relative:page;" filled="f" stroked="t" coordsize="21600,21600" o:gfxdata="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zjB9PdgA&#10;AAAJAQAADwAAAAAAAAABACAAAAAiAAAAZHJzL2Rvd25yZXYueG1sUEsBAhQAFAAAAAgAh07iQKmv&#10;D4LmAQAA3gMAAA4AAAAAAAAAAQAgAAAAJwEAAGRycy9lMm9Eb2MueG1sUEsFBgAAAAAGAAYAWQEA&#10;AH8FAAAAAA==&#10;">
                <v:fill on="f" focussize="0,0"/>
                <v:stroke weight="1.5pt" color="#FF0000" joinstyle="round"/>
                <v:imagedata o:title=""/>
                <o:lock v:ext="edit" aspectratio="f"/>
              </v:line>
            </w:pict>
          </mc:Fallback>
        </mc:AlternateContent>
      </w:r>
    </w:p>
    <w:p>
      <w:pPr>
        <w:widowControl w:val="0"/>
        <w:spacing w:line="540" w:lineRule="exact"/>
        <w:jc w:val="center"/>
        <w:rPr>
          <w:rFonts w:hint="eastAsia" w:ascii="仿宋" w:hAnsi="仿宋" w:eastAsia="仿宋" w:cs="仿宋"/>
          <w:b/>
          <w:bCs/>
          <w:sz w:val="32"/>
          <w:szCs w:val="32"/>
        </w:rPr>
      </w:pPr>
      <w:r>
        <w:rPr>
          <w:rFonts w:hint="eastAsia" w:ascii="仿宋" w:hAnsi="仿宋" w:eastAsia="仿宋" w:cs="仿宋"/>
          <w:b/>
          <w:bCs/>
          <w:sz w:val="32"/>
          <w:szCs w:val="32"/>
        </w:rPr>
        <w:t xml:space="preserve"> 关于举办“新版《清单计价标准》背景下工程造价全过程管控实战100问与招标采购管理专题培训班”的通知</w:t>
      </w:r>
    </w:p>
    <w:p>
      <w:pPr>
        <w:pStyle w:val="2"/>
        <w:ind w:firstLine="480"/>
      </w:pPr>
    </w:p>
    <w:p>
      <w:pPr>
        <w:spacing w:line="440" w:lineRule="exact"/>
        <w:jc w:val="left"/>
        <w:rPr>
          <w:rFonts w:hint="eastAsia" w:ascii="仿宋" w:hAnsi="仿宋" w:eastAsia="仿宋" w:cs="仿宋"/>
          <w:b/>
          <w:bCs/>
          <w:color w:val="000000"/>
          <w:spacing w:val="10"/>
          <w:kern w:val="2"/>
          <w:sz w:val="28"/>
          <w:szCs w:val="28"/>
          <w:shd w:val="clear" w:color="auto" w:fill="auto"/>
        </w:rPr>
      </w:pPr>
      <w:r>
        <w:rPr>
          <w:rFonts w:ascii="仿宋" w:hAnsi="仿宋" w:eastAsia="仿宋" w:cs="仿宋"/>
          <w:b/>
          <w:bCs/>
          <w:color w:val="000000"/>
          <w:spacing w:val="10"/>
          <w:kern w:val="2"/>
          <w:sz w:val="28"/>
          <w:szCs w:val="28"/>
          <w:shd w:val="clear" w:color="auto" w:fill="auto"/>
        </w:rPr>
        <w:t>各有关单位</w:t>
      </w:r>
      <w:r>
        <w:rPr>
          <w:rFonts w:hint="eastAsia" w:ascii="仿宋" w:hAnsi="仿宋" w:eastAsia="仿宋" w:cs="仿宋"/>
          <w:b/>
          <w:bCs/>
          <w:color w:val="000000"/>
          <w:spacing w:val="10"/>
          <w:kern w:val="2"/>
          <w:sz w:val="28"/>
          <w:szCs w:val="28"/>
          <w:shd w:val="clear" w:color="auto" w:fill="auto"/>
        </w:rPr>
        <w:t>：</w:t>
      </w:r>
    </w:p>
    <w:p>
      <w:pPr>
        <w:spacing w:line="440" w:lineRule="exact"/>
        <w:ind w:firstLine="600" w:firstLineChars="200"/>
        <w:jc w:val="left"/>
        <w:rPr>
          <w:rFonts w:hint="eastAsia" w:ascii="仿宋" w:hAnsi="仿宋" w:eastAsia="仿宋" w:cs="仿宋"/>
          <w:color w:val="000000"/>
          <w:spacing w:val="10"/>
          <w:kern w:val="2"/>
          <w:sz w:val="28"/>
          <w:szCs w:val="28"/>
          <w:shd w:val="clear" w:color="auto" w:fill="auto"/>
        </w:rPr>
      </w:pPr>
      <w:r>
        <w:rPr>
          <w:rFonts w:hint="eastAsia" w:ascii="仿宋" w:hAnsi="仿宋" w:eastAsia="仿宋" w:cs="仿宋"/>
          <w:color w:val="000000"/>
          <w:spacing w:val="10"/>
          <w:kern w:val="2"/>
          <w:sz w:val="28"/>
          <w:szCs w:val="28"/>
          <w:shd w:val="clear" w:color="auto" w:fill="auto"/>
        </w:rPr>
        <w:t>2020年，住房和城乡建设部发布了《工程造价改革工作方案》，通过改进工程计量和计价规则、强化建设单位造价管控责任、严格施工合同履约管理等措施，推行清单计量、市场询价、自主报价、竞争定价的工程计价方式，进一步完善工程造价市场形成机制， 为工程造价改革指明了方向。2021年四季度，住房和城乡建设部发布了《建设工程工程量清单计价标准》(征求意见稿)GB/T 50500-202X（以下简称新版《标准》）向全社会征求意见，标志着中国工程造价改革步入深水区。新版《标准》在计量计价方法、招标采购操作、工程合同契合、甲乙方风险分担、措施费计算的细化、工程价款调整、全过程价款支付、过程结算与工程款清欠、争议纠纷与造价鉴定、工程造价档案管理等十大方面做出了新的规定。</w:t>
      </w:r>
    </w:p>
    <w:p>
      <w:pPr>
        <w:widowControl w:val="0"/>
        <w:spacing w:line="440" w:lineRule="exact"/>
        <w:ind w:firstLine="600" w:firstLineChars="200"/>
        <w:rPr>
          <w:rFonts w:hint="eastAsia" w:ascii="仿宋" w:hAnsi="仿宋" w:eastAsia="仿宋"/>
          <w:sz w:val="28"/>
          <w:szCs w:val="28"/>
        </w:rPr>
      </w:pPr>
      <w:r>
        <w:rPr>
          <w:rFonts w:hint="eastAsia" w:ascii="仿宋" w:hAnsi="仿宋" w:eastAsia="仿宋" w:cs="仿宋"/>
          <w:color w:val="000000"/>
          <w:spacing w:val="10"/>
          <w:kern w:val="2"/>
          <w:sz w:val="28"/>
          <w:szCs w:val="28"/>
          <w:shd w:val="clear" w:color="auto" w:fill="auto"/>
        </w:rPr>
        <w:t>为帮助有关单位掌握最新版《标准》实质精髓和操作要领，全面掌握工程造价全过程精细化控制的根本之道，掌握新形势下工程计价、计量、招标投标、造价管控、合同管理、结算与审计和招标采购等新技能，解决建筑工程领域的结算难题，切实提高建设项目工程造价控制水平，我会决定举办“新版《清单计价标准》背景下工程造价全过程管控实战100问与招标采购管理专题培训班”。本次培训班由中国国际工程咨询协会主办，</w:t>
      </w:r>
      <w:r>
        <w:rPr>
          <w:rFonts w:hint="eastAsia" w:ascii="仿宋" w:hAnsi="仿宋" w:eastAsia="仿宋" w:cs="仿宋"/>
          <w:color w:val="000000"/>
          <w:spacing w:val="10"/>
          <w:sz w:val="28"/>
          <w:szCs w:val="28"/>
          <w:lang w:val="zh-CN"/>
        </w:rPr>
        <w:t>北京中科善若教育咨询有限公司</w:t>
      </w:r>
      <w:r>
        <w:rPr>
          <w:rFonts w:hint="eastAsia" w:ascii="仿宋" w:hAnsi="仿宋" w:eastAsia="仿宋" w:cs="仿宋"/>
          <w:color w:val="000000"/>
          <w:spacing w:val="10"/>
          <w:kern w:val="2"/>
          <w:sz w:val="28"/>
          <w:szCs w:val="28"/>
          <w:shd w:val="clear" w:color="auto" w:fill="auto"/>
        </w:rPr>
        <w:t>承办，</w:t>
      </w:r>
      <w:r>
        <w:rPr>
          <w:rFonts w:hint="eastAsia" w:ascii="仿宋" w:hAnsi="仿宋" w:eastAsia="仿宋"/>
          <w:sz w:val="28"/>
          <w:szCs w:val="28"/>
        </w:rPr>
        <w:t>请各单位积极派员参加。有关事项通知如下。</w:t>
      </w:r>
    </w:p>
    <w:p>
      <w:pPr>
        <w:tabs>
          <w:tab w:val="left" w:pos="567"/>
          <w:tab w:val="left" w:pos="709"/>
        </w:tabs>
        <w:spacing w:line="420" w:lineRule="exact"/>
        <w:textAlignment w:val="baseline"/>
        <w:outlineLvl w:val="0"/>
        <w:rPr>
          <w:rFonts w:hint="eastAsia" w:ascii="仿宋" w:hAnsi="仿宋" w:eastAsia="仿宋" w:cs="仿宋"/>
          <w:b/>
          <w:color w:val="000000"/>
          <w:sz w:val="28"/>
          <w:szCs w:val="28"/>
        </w:rPr>
      </w:pPr>
      <w:r>
        <w:rPr>
          <w:rFonts w:hint="eastAsia" w:ascii="仿宋" w:hAnsi="仿宋" w:eastAsia="仿宋" w:cs="仿宋"/>
          <w:b/>
          <w:color w:val="000000"/>
          <w:sz w:val="28"/>
          <w:szCs w:val="28"/>
        </w:rPr>
        <w:t>一、培训收益</w:t>
      </w:r>
    </w:p>
    <w:p>
      <w:pPr>
        <w:pStyle w:val="8"/>
        <w:widowControl/>
        <w:shd w:val="clear" w:color="auto" w:fill="FFFFFF"/>
        <w:spacing w:line="42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（一）</w:t>
      </w:r>
      <w:r>
        <w:rPr>
          <w:rFonts w:hint="eastAsia" w:ascii="仿宋" w:hAnsi="仿宋" w:eastAsia="仿宋" w:cs="仿宋"/>
          <w:color w:val="000000"/>
          <w:spacing w:val="10"/>
          <w:sz w:val="28"/>
          <w:szCs w:val="28"/>
        </w:rPr>
        <w:t>了解最新版《标准》出台背景，前瞻性预演最新版《标准》招投标、合同价款约定、工程计量、过程结算、合同价款调整等八大章节应用。</w:t>
      </w:r>
    </w:p>
    <w:p>
      <w:pPr>
        <w:pStyle w:val="8"/>
        <w:widowControl/>
        <w:shd w:val="clear" w:color="auto" w:fill="FFFFFF"/>
        <w:spacing w:line="42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（二）全方位把握工程造价全过程精细化管控实务操作100问，直抵现场，接地气！</w:t>
      </w:r>
    </w:p>
    <w:p>
      <w:pPr>
        <w:pStyle w:val="8"/>
        <w:widowControl/>
        <w:shd w:val="clear" w:color="auto" w:fill="FFFFFF"/>
        <w:spacing w:line="420" w:lineRule="exact"/>
        <w:ind w:firstLine="560" w:firstLineChars="200"/>
        <w:rPr>
          <w:rFonts w:hint="eastAsia" w:ascii="仿宋" w:hAnsi="仿宋" w:eastAsia="仿宋"/>
          <w:sz w:val="28"/>
          <w:szCs w:val="28"/>
        </w:rPr>
      </w:pPr>
      <w:r>
        <w:rPr>
          <w:rFonts w:hint="eastAsia" w:ascii="仿宋" w:hAnsi="仿宋" w:eastAsia="仿宋" w:cs="仿宋"/>
          <w:color w:val="000000"/>
          <w:sz w:val="28"/>
          <w:szCs w:val="28"/>
        </w:rPr>
        <w:t>（三）进一步了解我国招投标管理实务，以及招投标关键环节、法律风险防范</w:t>
      </w:r>
      <w:r>
        <w:rPr>
          <w:rFonts w:ascii="仿宋" w:hAnsi="仿宋" w:eastAsia="仿宋" w:cs="仿宋"/>
          <w:color w:val="000000"/>
          <w:sz w:val="28"/>
          <w:szCs w:val="28"/>
        </w:rPr>
        <w:t>。</w:t>
      </w:r>
    </w:p>
    <w:p>
      <w:pPr>
        <w:tabs>
          <w:tab w:val="left" w:pos="567"/>
          <w:tab w:val="left" w:pos="709"/>
        </w:tabs>
        <w:spacing w:line="420" w:lineRule="exact"/>
        <w:textAlignment w:val="baseline"/>
        <w:outlineLvl w:val="0"/>
        <w:rPr>
          <w:rFonts w:hint="eastAsia" w:ascii="仿宋" w:hAnsi="仿宋" w:eastAsia="仿宋" w:cs="仿宋"/>
          <w:b/>
          <w:color w:val="000000"/>
          <w:sz w:val="28"/>
          <w:szCs w:val="28"/>
        </w:rPr>
      </w:pPr>
      <w:r>
        <w:rPr>
          <w:rFonts w:hint="eastAsia" w:ascii="仿宋" w:hAnsi="仿宋" w:eastAsia="仿宋" w:cs="仿宋"/>
          <w:b/>
          <w:color w:val="000000"/>
          <w:sz w:val="28"/>
          <w:szCs w:val="28"/>
        </w:rPr>
        <w:t>二、培训内容</w:t>
      </w:r>
    </w:p>
    <w:p>
      <w:pPr>
        <w:pStyle w:val="2"/>
        <w:spacing w:line="420" w:lineRule="exact"/>
        <w:ind w:left="400" w:leftChars="200" w:firstLine="0" w:firstLineChars="0"/>
        <w:rPr>
          <w:rFonts w:hint="eastAsia" w:hAnsi="仿宋" w:cs="仿宋"/>
          <w:sz w:val="28"/>
          <w:szCs w:val="28"/>
        </w:rPr>
      </w:pPr>
      <w:r>
        <w:rPr>
          <w:rFonts w:hint="eastAsia" w:hAnsi="仿宋" w:cs="仿宋"/>
          <w:b/>
          <w:bCs/>
          <w:sz w:val="28"/>
          <w:szCs w:val="28"/>
        </w:rPr>
        <w:t>第一部分：新版《清单计价标准》前瞻解析应用</w:t>
      </w:r>
    </w:p>
    <w:p>
      <w:pPr>
        <w:pStyle w:val="8"/>
        <w:widowControl/>
        <w:spacing w:line="420" w:lineRule="exact"/>
        <w:ind w:firstLine="420"/>
        <w:rPr>
          <w:rFonts w:hint="eastAsia" w:ascii="仿宋" w:hAnsi="仿宋" w:eastAsia="仿宋" w:cs="仿宋"/>
          <w:b/>
          <w:bCs/>
          <w:spacing w:val="15"/>
          <w:sz w:val="28"/>
          <w:szCs w:val="28"/>
        </w:rPr>
      </w:pPr>
      <w:r>
        <w:rPr>
          <w:rStyle w:val="11"/>
          <w:rFonts w:hint="eastAsia" w:ascii="仿宋" w:hAnsi="仿宋" w:eastAsia="仿宋" w:cs="仿宋"/>
          <w:spacing w:val="15"/>
          <w:sz w:val="28"/>
          <w:szCs w:val="28"/>
        </w:rPr>
        <w:t>（一）</w:t>
      </w:r>
      <w:r>
        <w:rPr>
          <w:rFonts w:hint="eastAsia" w:ascii="仿宋" w:hAnsi="仿宋" w:eastAsia="仿宋" w:cs="仿宋"/>
          <w:b/>
          <w:bCs/>
          <w:spacing w:val="10"/>
          <w:sz w:val="28"/>
          <w:szCs w:val="28"/>
        </w:rPr>
        <w:t>新版《标准》</w:t>
      </w:r>
      <w:r>
        <w:rPr>
          <w:rStyle w:val="11"/>
          <w:rFonts w:hint="eastAsia" w:ascii="仿宋" w:hAnsi="仿宋" w:eastAsia="仿宋" w:cs="仿宋"/>
          <w:spacing w:val="15"/>
          <w:sz w:val="28"/>
          <w:szCs w:val="28"/>
        </w:rPr>
        <w:t>起草背景与亮点分析</w:t>
      </w:r>
    </w:p>
    <w:p>
      <w:pPr>
        <w:widowControl w:val="0"/>
        <w:spacing w:line="420" w:lineRule="exact"/>
        <w:ind w:firstLine="600" w:firstLineChars="200"/>
        <w:rPr>
          <w:rFonts w:hint="eastAsia" w:ascii="仿宋" w:hAnsi="仿宋" w:eastAsia="仿宋" w:cs="仿宋"/>
          <w:color w:val="000000"/>
          <w:spacing w:val="10"/>
          <w:kern w:val="2"/>
          <w:sz w:val="28"/>
          <w:szCs w:val="28"/>
          <w:shd w:val="clear" w:color="auto" w:fill="auto"/>
        </w:rPr>
      </w:pPr>
      <w:r>
        <w:rPr>
          <w:rFonts w:hint="eastAsia" w:ascii="仿宋" w:hAnsi="仿宋" w:eastAsia="仿宋" w:cs="仿宋"/>
          <w:color w:val="000000"/>
          <w:spacing w:val="10"/>
          <w:kern w:val="2"/>
          <w:sz w:val="28"/>
          <w:szCs w:val="28"/>
          <w:shd w:val="clear" w:color="auto" w:fill="auto"/>
        </w:rPr>
        <w:t>1.新版《标准》修改起草的背景与意义</w:t>
      </w:r>
    </w:p>
    <w:p>
      <w:pPr>
        <w:widowControl w:val="0"/>
        <w:spacing w:line="420" w:lineRule="exact"/>
        <w:ind w:firstLine="600" w:firstLineChars="200"/>
        <w:rPr>
          <w:rFonts w:hint="eastAsia" w:ascii="仿宋" w:hAnsi="仿宋" w:eastAsia="仿宋" w:cs="仿宋"/>
          <w:color w:val="000000"/>
          <w:spacing w:val="10"/>
          <w:kern w:val="2"/>
          <w:sz w:val="28"/>
          <w:szCs w:val="28"/>
          <w:shd w:val="clear" w:color="auto" w:fill="auto"/>
        </w:rPr>
      </w:pPr>
      <w:r>
        <w:rPr>
          <w:rFonts w:hint="eastAsia" w:ascii="仿宋" w:hAnsi="仿宋" w:eastAsia="仿宋" w:cs="仿宋"/>
          <w:color w:val="000000"/>
          <w:spacing w:val="10"/>
          <w:kern w:val="2"/>
          <w:sz w:val="28"/>
          <w:szCs w:val="28"/>
          <w:shd w:val="clear" w:color="auto" w:fill="auto"/>
        </w:rPr>
        <w:t>2.新版《标准》修改的重大调整和补充</w:t>
      </w:r>
    </w:p>
    <w:p>
      <w:pPr>
        <w:widowControl w:val="0"/>
        <w:spacing w:line="420" w:lineRule="exact"/>
        <w:ind w:firstLine="600" w:firstLineChars="200"/>
        <w:rPr>
          <w:rFonts w:hint="eastAsia" w:ascii="仿宋" w:hAnsi="仿宋" w:eastAsia="仿宋" w:cs="仿宋"/>
          <w:color w:val="000000"/>
          <w:spacing w:val="10"/>
          <w:kern w:val="2"/>
          <w:sz w:val="28"/>
          <w:szCs w:val="28"/>
          <w:shd w:val="clear" w:color="auto" w:fill="auto"/>
        </w:rPr>
      </w:pPr>
      <w:r>
        <w:rPr>
          <w:rFonts w:hint="eastAsia" w:ascii="仿宋" w:hAnsi="仿宋" w:eastAsia="仿宋" w:cs="仿宋"/>
          <w:color w:val="000000"/>
          <w:spacing w:val="10"/>
          <w:kern w:val="2"/>
          <w:sz w:val="28"/>
          <w:szCs w:val="28"/>
          <w:shd w:val="clear" w:color="auto" w:fill="auto"/>
        </w:rPr>
        <w:t>3.新版《标准》的主要内容和十大亮点</w:t>
      </w:r>
    </w:p>
    <w:p>
      <w:pPr>
        <w:widowControl w:val="0"/>
        <w:spacing w:line="420" w:lineRule="exact"/>
        <w:ind w:firstLine="600" w:firstLineChars="200"/>
        <w:rPr>
          <w:rFonts w:hint="eastAsia" w:ascii="仿宋" w:hAnsi="仿宋" w:eastAsia="仿宋" w:cs="仿宋"/>
          <w:color w:val="000000"/>
          <w:spacing w:val="10"/>
          <w:kern w:val="2"/>
          <w:sz w:val="28"/>
          <w:szCs w:val="28"/>
          <w:shd w:val="clear" w:color="auto" w:fill="auto"/>
        </w:rPr>
      </w:pPr>
      <w:r>
        <w:rPr>
          <w:rFonts w:hint="eastAsia" w:ascii="仿宋" w:hAnsi="仿宋" w:eastAsia="仿宋" w:cs="仿宋"/>
          <w:color w:val="000000"/>
          <w:spacing w:val="10"/>
          <w:kern w:val="2"/>
          <w:sz w:val="28"/>
          <w:szCs w:val="28"/>
          <w:shd w:val="clear" w:color="auto" w:fill="auto"/>
        </w:rPr>
        <w:t>4.新、旧版《标准》的有效衔接和对比分析</w:t>
      </w:r>
    </w:p>
    <w:p>
      <w:pPr>
        <w:widowControl w:val="0"/>
        <w:spacing w:line="420" w:lineRule="exact"/>
        <w:ind w:firstLine="600" w:firstLineChars="200"/>
        <w:rPr>
          <w:rFonts w:hint="eastAsia" w:ascii="仿宋" w:hAnsi="仿宋" w:eastAsia="仿宋" w:cs="仿宋"/>
          <w:color w:val="000000"/>
          <w:spacing w:val="10"/>
          <w:kern w:val="2"/>
          <w:sz w:val="28"/>
          <w:szCs w:val="28"/>
          <w:shd w:val="clear" w:color="auto" w:fill="auto"/>
        </w:rPr>
      </w:pPr>
      <w:r>
        <w:rPr>
          <w:rFonts w:hint="eastAsia" w:ascii="仿宋" w:hAnsi="仿宋" w:eastAsia="仿宋" w:cs="仿宋"/>
          <w:color w:val="000000"/>
          <w:spacing w:val="10"/>
          <w:kern w:val="2"/>
          <w:sz w:val="28"/>
          <w:szCs w:val="28"/>
          <w:shd w:val="clear" w:color="auto" w:fill="auto"/>
        </w:rPr>
        <w:t>5.新版《标准》下企业面临的挑战对策</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（二） 新版《标准》招投标环节相关条款的解读与应用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1.新版《标准》下招标工程量清单编制与错误防范对策</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2.新版《标准》下最高投标限价编制与错误防范对策</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3.新版《标准》下投标报价编制技巧与风险防范对策</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（三） 新版《标准》合同价款约定环节的解读与应用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1.新版《标准》下合同约定内容的条款解读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2.新版《标准》下合同类型约定的条款解读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3.新版《标准》下合同法律效力的条款解读</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（四）新版《标准》工程计量环节的解读与应用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1.新版《标准》下工程计量的程序、方法、责任承担操作</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2.新版《标准》下单价合同计量的条款解读与应用操作</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3.新版《标准》下总价合同计量的条款解读与应用操作</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（五）新版《标准》合同价款调整环节解读与应用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1.工程变更导致的价款调整解读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2.工程量清单缺陷价款调整解读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3.计日工导致的价款调整解读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4.物价变化导致的价款调整解读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5.暂估价导致的价款调整解读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6.工程索赔导致的价款调整解读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7.暂列金额导致的价款调整解读</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（六） 新版《标准》过程结算与中期支付环节的解读与应用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1.预付款支付条款的解读与应用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2.安全文明施工费支付条款的解读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3.过程结算相关条款的解读与应用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4.进度款支付条款的解读与应用</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（七）新版《标准》结算与支付环节解读与应用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1.竣工结算的条款解读与应用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2.合同解除结算的条款解读与应用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3.最终结清的程序、方法及解读与应用</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（八）新版《标准》合同价款争议的解决环节解读与应用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1.争议暂定的条款解读与应用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2.工程计价依据的解释条款解读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3.协商和解的条款解读与应用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4.调解的条款解读与应用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5.仲裁或诉讼的条款解读与应用</w:t>
      </w:r>
    </w:p>
    <w:p>
      <w:pPr>
        <w:pStyle w:val="8"/>
        <w:widowControl/>
        <w:spacing w:line="420" w:lineRule="exact"/>
        <w:ind w:firstLine="420"/>
        <w:rPr>
          <w:rStyle w:val="11"/>
          <w:rFonts w:hint="eastAsia" w:ascii="仿宋" w:hAnsi="仿宋" w:eastAsia="仿宋" w:cs="仿宋"/>
          <w:spacing w:val="15"/>
          <w:sz w:val="28"/>
          <w:szCs w:val="28"/>
        </w:rPr>
      </w:pPr>
      <w:r>
        <w:rPr>
          <w:rStyle w:val="11"/>
          <w:rFonts w:hint="eastAsia" w:ascii="仿宋" w:hAnsi="仿宋" w:eastAsia="仿宋" w:cs="仿宋"/>
          <w:spacing w:val="15"/>
          <w:sz w:val="28"/>
          <w:szCs w:val="28"/>
        </w:rPr>
        <w:t>（九）新版《标准》计价资料与档案管理环节相关条款解读</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1.计价资料条款解读与应用</w:t>
      </w:r>
    </w:p>
    <w:p>
      <w:pPr>
        <w:pStyle w:val="8"/>
        <w:widowControl/>
        <w:spacing w:line="420" w:lineRule="exact"/>
        <w:ind w:firstLine="420"/>
        <w:rPr>
          <w:rFonts w:hint="eastAsia" w:ascii="仿宋" w:hAnsi="仿宋" w:eastAsia="仿宋" w:cs="仿宋"/>
          <w:spacing w:val="15"/>
          <w:sz w:val="28"/>
          <w:szCs w:val="28"/>
        </w:rPr>
      </w:pPr>
      <w:r>
        <w:rPr>
          <w:rFonts w:hint="eastAsia" w:ascii="仿宋" w:hAnsi="仿宋" w:eastAsia="仿宋" w:cs="仿宋"/>
          <w:spacing w:val="15"/>
          <w:sz w:val="28"/>
          <w:szCs w:val="28"/>
        </w:rPr>
        <w:t>2.计价档案条款解读与应用</w:t>
      </w:r>
    </w:p>
    <w:p>
      <w:pPr>
        <w:pStyle w:val="8"/>
        <w:widowControl/>
        <w:spacing w:line="420" w:lineRule="exact"/>
        <w:ind w:firstLine="420"/>
        <w:rPr>
          <w:rFonts w:hint="eastAsia" w:ascii="仿宋" w:hAnsi="仿宋" w:eastAsia="仿宋" w:cs="仿宋"/>
          <w:b/>
          <w:bCs/>
          <w:spacing w:val="15"/>
          <w:sz w:val="28"/>
          <w:szCs w:val="28"/>
        </w:rPr>
      </w:pPr>
      <w:r>
        <w:rPr>
          <w:rFonts w:hint="eastAsia" w:ascii="仿宋" w:hAnsi="仿宋" w:eastAsia="仿宋" w:cs="仿宋"/>
          <w:b/>
          <w:bCs/>
          <w:sz w:val="28"/>
          <w:szCs w:val="28"/>
        </w:rPr>
        <w:t>第二部分：全过程工程造价精细化管控100问实战技能</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Style w:val="11"/>
          <w:rFonts w:hint="eastAsia" w:ascii="仿宋" w:hAnsi="仿宋" w:eastAsia="仿宋" w:cs="仿宋"/>
          <w:color w:val="222222"/>
          <w:spacing w:val="8"/>
          <w:sz w:val="28"/>
          <w:szCs w:val="28"/>
          <w:shd w:val="clear" w:color="auto" w:fill="FFFFFF"/>
        </w:rPr>
        <w:t>（一）全过程控价难点与对策</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1．概算定额、估算指标如何适用？</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2．没有预算定额，最高投标限价如何编制？如何报价？</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3．人工、材料、机械台班市场价格如何确定？</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4．如何依据大数据、人工智能等信息化技术编制概预算？</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5．设计限额、建造标准、合同价格，对结算造价影响？</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6．没有概算定额，如何报价与结算？</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7．没有定额，综合单价如何计取？</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8．市场询价，分部分项的组成要素量如何确定？</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9．清单计价，市场询价如何推行？</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10．当出现新的合同外清单时，怎么定价？</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11．如何来判别成本是否合理？</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12．如何根据实时价及实施量进行结算？</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Style w:val="11"/>
          <w:rFonts w:hint="eastAsia" w:ascii="仿宋" w:hAnsi="仿宋" w:eastAsia="仿宋" w:cs="仿宋"/>
          <w:color w:val="222222"/>
          <w:spacing w:val="8"/>
          <w:sz w:val="28"/>
          <w:szCs w:val="28"/>
          <w:shd w:val="clear" w:color="auto" w:fill="FFFFFF"/>
        </w:rPr>
        <w:t>（二）招投标阶段造价问题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1．不平衡报价问题。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2．暂列金漏传问题。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3．招标工程设计图纸标明按“二次设计”、“深化设计”等字眼的，如何考虑该费用。</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4．招标控制价，措施费漏项。</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5．招标控制价项目特征描述不完整或与工程规范要求不符问题。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6．招标控制价综合单价不统一或偏离市场价问题。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7．招标清单、投标清单、招标控制价组价明细不一致问题。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8．设计图纸与招标工程量清单不一致问题。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9．设计优化造成部分工作删减引起的同价款调整。</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10．清单计价模式下暂估价问题。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11．清单量大于图纸量造价问题。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12．清单招标、费率招标中的临时措施费问题。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13．施工总承包（单价包干）项目中标了，暂未签订合同，现发现中标价格低于市场价，如何处理。</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14．停工、窝工、用工签证、机械台班造价问题。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15．有初步设计和财评审定概算，采用报下浮率并填报概算清单的方式。</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Style w:val="11"/>
          <w:rFonts w:hint="eastAsia" w:ascii="仿宋" w:hAnsi="仿宋" w:eastAsia="仿宋" w:cs="仿宋"/>
          <w:color w:val="222222"/>
          <w:spacing w:val="8"/>
          <w:sz w:val="28"/>
          <w:szCs w:val="28"/>
          <w:shd w:val="clear" w:color="auto" w:fill="FFFFFF"/>
        </w:rPr>
        <w:t>（三）合同签订阶段造价问题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1．变更引起的费用超额调整合同价款。</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2．不可预见的外界障碍或自然条件签证造价问题。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3．不利地质条件造价问题。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4．初步设计发包与结算完不成概算量扣款问题。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5．措施费包干，红线外措施费调整？</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6．当事人对工程价款约定了固定价的情形下，是否绝对不能申请鉴定。</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7．对于施工措施项目没有设计图纸，但是在工程造价占比比较大的，例如钢平台、施工围堰、施工便道、水塔拆除，如何考虑该费用。</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8．信息价计算主材价格造价问题。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9．延期期间能否调整合同约定的调差权重。</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10．延期期间能否增加管理费？是否增加管理费与延期时间关系？如增加管理费，计算标准如何？</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11．降效费、赶工措施费如何计算比较合理？</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12．中标后拒绝签订合同问题。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13．甲供材造价合同取费基数问题。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14．合同约定材料、人工等价格包死条款的风险及争议处理。</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15．黑白合同对工程履约、竣工结算的影响。</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16．合同中约定价格调整按照省、市交通主管部门文件规定执行。</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Style w:val="11"/>
          <w:rFonts w:hint="eastAsia" w:ascii="仿宋" w:hAnsi="仿宋" w:eastAsia="仿宋" w:cs="仿宋"/>
          <w:color w:val="222222"/>
          <w:spacing w:val="8"/>
          <w:sz w:val="28"/>
          <w:szCs w:val="28"/>
          <w:shd w:val="clear" w:color="auto" w:fill="FFFFFF"/>
        </w:rPr>
        <w:t>（四）履约阶段造价问题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1．恶劣天气工期顺延造价问题。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2．二次报价问题。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3．二次植筋费、高支模费问题。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4．发生设计变更的，能否调整固定价款。</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5．分包未签施工合同结算问题。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6．工程变更、工期和价款调整造价问题。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7．工程量变更引起包干措施项目费调整。</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8．工程量偏差引起的安全文明施工费调整争议。</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9．混合逾期，材料调价差。</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10．人工费调整、材料价差调整问题。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11．工程量清单错漏项问题。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12．措施项目费调整问题。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13．消耗量定额缺失、信息价格缺失等问题。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14．EPC，公路08定额，18定额，预算高问题。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15．地铁，概算，下浮，总价包干，一部分变更，明挖变暗挖，变更部分，套预算定额问题。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16．轻轨，ppp+epc，官方文件要求甲方初设，现乙方要求初设问题。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Style w:val="11"/>
          <w:rFonts w:hint="eastAsia" w:ascii="仿宋" w:hAnsi="仿宋" w:eastAsia="仿宋" w:cs="仿宋"/>
          <w:color w:val="222222"/>
          <w:spacing w:val="8"/>
          <w:sz w:val="28"/>
          <w:szCs w:val="28"/>
          <w:shd w:val="clear" w:color="auto" w:fill="FFFFFF"/>
        </w:rPr>
        <w:t>（五）结算阶段造价问题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1．图纸与现场标高不一致，投标答疑与报价风险问题。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2．只有监理人员签字而没有建设单位的签字及盖章的签证能否作为结算的依据问题。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3．设计变更导致综合单价重新确定问题。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4．设计变更或施工图有误造价问题。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5．无效施工合同中“企业管理费”、“利润”、“规费”问题。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6．先施工后签合同造价问题。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7．结算超设计造价问题。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8．可研估算立项与结算超限额问题。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9．没有详图或具体使用部位造价问题。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10．签名+“同意”、签名+“情况属实”、签名+“以上情况属实，同意结算”，有何区别问题。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11．签证直接签金额就大大减少甲方事后审价审减的空间问题。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12．情势变更、显失公平、重大误解、无限风险问题。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13．人工浮动工资、议价项目、材料价格造价问题。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14．已竣工项目，不验收、不结算问题。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15．地铁盾构机开挖，前期甲方管线挪移，赶工措施费问题。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16．交通局概算包干，护坡塌方问题。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Style w:val="11"/>
          <w:rFonts w:hint="eastAsia" w:ascii="仿宋" w:hAnsi="仿宋" w:eastAsia="仿宋" w:cs="仿宋"/>
          <w:color w:val="222222"/>
          <w:spacing w:val="8"/>
          <w:sz w:val="28"/>
          <w:szCs w:val="28"/>
          <w:shd w:val="clear" w:color="auto" w:fill="FFFFFF"/>
        </w:rPr>
        <w:t>（六）结算审计与财评</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1．路桥公司，EPC，财政评审，材料费，信息价问题。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2．EPC,跨铁桥，超概，挂靠问题。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3．实际施工与设计图纸不一致，结算如何调整问题。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4．招标文件约定施工过程核价问题。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5．招标控制价中没有赶工措施费，项目在实施过程中，因业主原因需要施工单位进行赶工，赶工措施费如何计算比较合理？</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6．EPC项目合同及范围外的结算原则问题。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7．当事人约定以行政审计、财政评审作为工程款结算依据的，按照约定处理问题。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8．行政审计、财政评审部门明确表示无法进行审计或者无正当理由长期未出具审计结论，当事人申请进行司法鉴定的，可以准许问题。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9．在双方当事人已经通过结算协议确认了工程结算价款并已基本履行完毕的情况下，国家审计机关作出的审计结论或财政评审意见，不影响双方结算协议的效力问题。</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10．中标合同与另行约定以审计结果作为结算依据不一致，如何处理？</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11．约定以审计结论作为结算依据，能否变更结算约定？</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12．审计机构超越资质范围出具审计报告，审计结果能否作为结算依据？</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13．政府审计结果是否影响双方当事人结算协议的履行？</w:t>
      </w:r>
    </w:p>
    <w:p>
      <w:pPr>
        <w:pStyle w:val="8"/>
        <w:widowControl/>
        <w:shd w:val="clear" w:color="auto" w:fill="FFFFFF"/>
        <w:spacing w:line="420" w:lineRule="exact"/>
        <w:ind w:firstLine="420"/>
        <w:rPr>
          <w:rFonts w:hint="eastAsia" w:ascii="仿宋" w:hAnsi="仿宋" w:eastAsia="仿宋" w:cs="仿宋"/>
          <w:color w:val="222222"/>
          <w:spacing w:val="8"/>
          <w:sz w:val="28"/>
          <w:szCs w:val="28"/>
        </w:rPr>
      </w:pPr>
      <w:r>
        <w:rPr>
          <w:rFonts w:hint="eastAsia" w:ascii="仿宋" w:hAnsi="仿宋" w:eastAsia="仿宋" w:cs="仿宋"/>
          <w:color w:val="222222"/>
          <w:spacing w:val="8"/>
          <w:sz w:val="28"/>
          <w:szCs w:val="28"/>
          <w:shd w:val="clear" w:color="auto" w:fill="FFFFFF"/>
        </w:rPr>
        <w:t>14．审计机关对发包人的竣工决算审计结果对承包人与实际施工人约定的结算方式的影响？</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15．合同约定以决算审核部门审核结果作为结算依据的，审核结果能否作为结算的依据？如果已经按照造价咨询机构的结论，全部支付完了工程款项，审计机关时候又提出审减的意见，这种要怎么处理？是要把钱追回来么？如果追不回来了，经办人员要被追责么？</w:t>
      </w:r>
    </w:p>
    <w:p>
      <w:pPr>
        <w:pStyle w:val="8"/>
        <w:widowControl/>
        <w:shd w:val="clear" w:color="auto" w:fill="FFFFFF"/>
        <w:spacing w:line="420" w:lineRule="exact"/>
        <w:ind w:firstLine="420"/>
        <w:rPr>
          <w:rFonts w:hint="eastAsia" w:ascii="仿宋" w:hAnsi="仿宋" w:eastAsia="仿宋" w:cs="仿宋"/>
          <w:b/>
          <w:bCs/>
          <w:color w:val="222222"/>
          <w:spacing w:val="8"/>
          <w:sz w:val="28"/>
          <w:szCs w:val="28"/>
          <w:shd w:val="clear" w:color="auto" w:fill="FFFFFF"/>
        </w:rPr>
      </w:pPr>
      <w:r>
        <w:rPr>
          <w:rFonts w:hint="eastAsia" w:ascii="仿宋" w:hAnsi="仿宋" w:eastAsia="仿宋" w:cs="仿宋"/>
          <w:b/>
          <w:bCs/>
          <w:color w:val="222222"/>
          <w:spacing w:val="8"/>
          <w:sz w:val="28"/>
          <w:szCs w:val="28"/>
          <w:shd w:val="clear" w:color="auto" w:fill="FFFFFF"/>
        </w:rPr>
        <w:t>第三部分</w:t>
      </w:r>
      <w:r>
        <w:rPr>
          <w:rFonts w:hint="eastAsia" w:ascii="仿宋" w:hAnsi="仿宋" w:eastAsia="仿宋" w:cs="仿宋"/>
          <w:b/>
          <w:bCs/>
          <w:sz w:val="32"/>
          <w:szCs w:val="32"/>
        </w:rPr>
        <w:t>招标采购管理实务与法律风险防范</w:t>
      </w:r>
    </w:p>
    <w:p>
      <w:pPr>
        <w:spacing w:line="420" w:lineRule="exact"/>
        <w:ind w:firstLine="602" w:firstLineChars="200"/>
        <w:jc w:val="left"/>
        <w:rPr>
          <w:rFonts w:hint="eastAsia" w:ascii="仿宋" w:hAnsi="仿宋" w:eastAsia="仿宋" w:cs="仿宋"/>
          <w:b/>
          <w:bCs/>
          <w:color w:val="000000"/>
          <w:spacing w:val="10"/>
          <w:kern w:val="2"/>
          <w:sz w:val="28"/>
          <w:szCs w:val="28"/>
          <w:shd w:val="clear" w:color="auto" w:fill="auto"/>
        </w:rPr>
      </w:pPr>
      <w:r>
        <w:rPr>
          <w:rFonts w:hint="eastAsia" w:ascii="仿宋" w:hAnsi="仿宋" w:eastAsia="仿宋" w:cs="仿宋"/>
          <w:b/>
          <w:bCs/>
          <w:color w:val="000000"/>
          <w:spacing w:val="10"/>
          <w:kern w:val="2"/>
          <w:sz w:val="28"/>
          <w:szCs w:val="28"/>
          <w:shd w:val="clear" w:color="auto" w:fill="auto"/>
        </w:rPr>
        <w:t>(一）工程建设项目、货物、服务招标采购实务操作与案例分析</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1.依法必须招标项目的判定及其招标方案的策划。</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2.招标方式选择的条件与标准。</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3.采购需求及其在招标采购中的重要性。</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4.资格审查及案例分析。</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5.开标、评标、中标操作实务与案例分析。</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6.工程总承包实务操作及案例分析。</w:t>
      </w:r>
    </w:p>
    <w:p>
      <w:pPr>
        <w:spacing w:line="420" w:lineRule="exact"/>
        <w:ind w:firstLine="602" w:firstLineChars="200"/>
        <w:jc w:val="left"/>
        <w:rPr>
          <w:rFonts w:hint="eastAsia" w:ascii="仿宋" w:hAnsi="仿宋" w:eastAsia="仿宋" w:cs="仿宋"/>
          <w:b/>
          <w:bCs/>
          <w:color w:val="000000"/>
          <w:spacing w:val="10"/>
          <w:kern w:val="2"/>
          <w:sz w:val="28"/>
          <w:szCs w:val="28"/>
          <w:shd w:val="clear" w:color="auto" w:fill="auto"/>
        </w:rPr>
      </w:pPr>
      <w:r>
        <w:rPr>
          <w:rFonts w:hint="eastAsia" w:ascii="仿宋" w:hAnsi="仿宋" w:eastAsia="仿宋" w:cs="仿宋"/>
          <w:b/>
          <w:bCs/>
          <w:color w:val="000000"/>
          <w:spacing w:val="10"/>
          <w:kern w:val="2"/>
          <w:sz w:val="28"/>
          <w:szCs w:val="28"/>
          <w:shd w:val="clear" w:color="auto" w:fill="auto"/>
        </w:rPr>
        <w:t>（二）招标采购关键程序、痛点问题解析与法律风险防范</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1.招标流程策划与强化资格审查存在的问题探讨。</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2.招标文件通用性、独特性编制内容、法律要求及案例分享。</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3.评标办法选择、评定分离的法律要求与其他难点问题解析。</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4.招标采购异议、质疑、投诉等争议的解决策略和案例分析。</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5.合同规划、签订、履行、变更、验收、信用评价等解决方案。</w:t>
      </w:r>
    </w:p>
    <w:p>
      <w:pPr>
        <w:pStyle w:val="8"/>
        <w:widowControl/>
        <w:shd w:val="clear" w:color="auto" w:fill="FFFFFF"/>
        <w:spacing w:line="420" w:lineRule="exact"/>
        <w:ind w:firstLine="420"/>
        <w:rPr>
          <w:rFonts w:hint="eastAsia" w:ascii="仿宋" w:hAnsi="仿宋" w:eastAsia="仿宋" w:cs="仿宋"/>
          <w:color w:val="222222"/>
          <w:spacing w:val="8"/>
          <w:sz w:val="28"/>
          <w:szCs w:val="28"/>
          <w:shd w:val="clear" w:color="auto" w:fill="FFFFFF"/>
        </w:rPr>
      </w:pPr>
      <w:r>
        <w:rPr>
          <w:rFonts w:hint="eastAsia" w:ascii="仿宋" w:hAnsi="仿宋" w:eastAsia="仿宋" w:cs="仿宋"/>
          <w:color w:val="222222"/>
          <w:spacing w:val="8"/>
          <w:sz w:val="28"/>
          <w:szCs w:val="28"/>
          <w:shd w:val="clear" w:color="auto" w:fill="FFFFFF"/>
        </w:rPr>
        <w:t>6.招标投标交易全过程电子化流程分析及操作实务。</w:t>
      </w:r>
    </w:p>
    <w:p>
      <w:pPr>
        <w:spacing w:line="420" w:lineRule="exact"/>
        <w:ind w:left="281" w:right="-182" w:rightChars="-91" w:hanging="281" w:hangingChars="100"/>
        <w:rPr>
          <w:rFonts w:hint="eastAsia" w:ascii="仿宋" w:hAnsi="仿宋" w:eastAsia="仿宋" w:cs="仿宋"/>
          <w:b/>
          <w:color w:val="333333"/>
          <w:sz w:val="28"/>
          <w:szCs w:val="28"/>
          <w:shd w:val="clear" w:color="auto" w:fill="FFFFFF"/>
        </w:rPr>
      </w:pPr>
      <w:r>
        <w:rPr>
          <w:rFonts w:hint="eastAsia" w:ascii="仿宋" w:hAnsi="仿宋" w:eastAsia="仿宋" w:cs="仿宋"/>
          <w:b/>
          <w:color w:val="333333"/>
          <w:sz w:val="28"/>
          <w:szCs w:val="28"/>
          <w:shd w:val="clear" w:color="auto" w:fill="FFFFFF"/>
        </w:rPr>
        <w:t>三、培训对象</w:t>
      </w:r>
    </w:p>
    <w:p>
      <w:pPr>
        <w:spacing w:line="420" w:lineRule="exact"/>
        <w:ind w:left="294" w:leftChars="147" w:right="-182" w:rightChars="-91" w:firstLine="600" w:firstLineChars="200"/>
        <w:rPr>
          <w:rFonts w:hint="eastAsia" w:ascii="仿宋" w:hAnsi="仿宋" w:eastAsia="仿宋" w:cs="仿宋"/>
          <w:color w:val="000000"/>
          <w:spacing w:val="10"/>
          <w:kern w:val="2"/>
          <w:sz w:val="28"/>
          <w:szCs w:val="28"/>
          <w:shd w:val="clear" w:color="auto" w:fill="auto"/>
        </w:rPr>
      </w:pPr>
      <w:r>
        <w:rPr>
          <w:rFonts w:hint="eastAsia" w:ascii="仿宋" w:hAnsi="仿宋" w:eastAsia="仿宋" w:cs="仿宋"/>
          <w:spacing w:val="10"/>
          <w:kern w:val="2"/>
          <w:sz w:val="28"/>
          <w:szCs w:val="28"/>
          <w:shd w:val="clear" w:color="auto" w:fill="auto"/>
        </w:rPr>
        <w:t>各地政府建设项目管理、招标投标、公共资源交易、工程交易、投资项目评审等职能部门相关人员；各业主单位、工程建设、项目开发、合同管理、工程造价、审计监察、勘察设计、施工、监理、项目管理相关工作人员；社会事业及科研机构相关工作人员等。</w:t>
      </w:r>
    </w:p>
    <w:p>
      <w:pPr>
        <w:spacing w:line="420" w:lineRule="exact"/>
        <w:ind w:right="-182" w:rightChars="-91"/>
        <w:rPr>
          <w:rFonts w:hint="eastAsia" w:ascii="仿宋" w:hAnsi="仿宋" w:eastAsia="仿宋" w:cs="仿宋"/>
          <w:b/>
          <w:color w:val="333333"/>
          <w:sz w:val="28"/>
          <w:szCs w:val="28"/>
          <w:shd w:val="clear" w:color="auto" w:fill="FFFFFF"/>
        </w:rPr>
      </w:pPr>
      <w:r>
        <w:rPr>
          <w:rFonts w:hint="eastAsia" w:ascii="仿宋" w:hAnsi="仿宋" w:eastAsia="仿宋" w:cs="仿宋"/>
          <w:b/>
          <w:color w:val="333333"/>
          <w:sz w:val="28"/>
          <w:szCs w:val="28"/>
          <w:shd w:val="clear" w:color="auto" w:fill="FFFFFF"/>
        </w:rPr>
        <w:t>四、授课师资</w:t>
      </w:r>
    </w:p>
    <w:p>
      <w:pPr>
        <w:pStyle w:val="2"/>
        <w:spacing w:line="420" w:lineRule="exact"/>
        <w:ind w:left="0" w:firstLine="600"/>
        <w:rPr>
          <w:rFonts w:hint="eastAsia" w:hAnsi="仿宋" w:cs="仿宋"/>
          <w:b/>
          <w:color w:val="333333"/>
          <w:sz w:val="28"/>
          <w:szCs w:val="28"/>
          <w:shd w:val="clear" w:color="auto" w:fill="FFFFFF"/>
        </w:rPr>
      </w:pPr>
      <w:r>
        <w:rPr>
          <w:rFonts w:hint="eastAsia" w:hAnsi="仿宋" w:cs="仿宋"/>
          <w:spacing w:val="10"/>
          <w:sz w:val="28"/>
          <w:szCs w:val="28"/>
        </w:rPr>
        <w:t>拟邀请国家发改委、住建部、行业协会及参与新标准编写的有关专家现场授课，结合经典案例分析，并进行互动交流和现场答疑。</w:t>
      </w:r>
    </w:p>
    <w:p>
      <w:pPr>
        <w:spacing w:line="420" w:lineRule="exact"/>
        <w:ind w:right="-182" w:rightChars="-91"/>
        <w:rPr>
          <w:rFonts w:hint="eastAsia" w:ascii="仿宋" w:hAnsi="仿宋" w:eastAsia="仿宋" w:cs="仿宋"/>
          <w:b/>
          <w:color w:val="333333"/>
          <w:sz w:val="28"/>
          <w:szCs w:val="28"/>
          <w:shd w:val="clear" w:color="auto" w:fill="FFFFFF"/>
        </w:rPr>
      </w:pPr>
      <w:r>
        <w:rPr>
          <w:rFonts w:hint="eastAsia" w:ascii="仿宋" w:hAnsi="仿宋" w:eastAsia="仿宋" w:cs="仿宋"/>
          <w:b/>
          <w:color w:val="333333"/>
          <w:sz w:val="28"/>
          <w:szCs w:val="28"/>
          <w:shd w:val="clear" w:color="auto" w:fill="FFFFFF"/>
        </w:rPr>
        <w:t>五、时间地点</w:t>
      </w:r>
    </w:p>
    <w:p>
      <w:pPr>
        <w:pStyle w:val="2"/>
        <w:spacing w:line="420" w:lineRule="exact"/>
        <w:ind w:left="0" w:firstLine="560"/>
        <w:rPr>
          <w:rFonts w:hint="eastAsia" w:hAnsi="仿宋" w:cs="仿宋"/>
          <w:sz w:val="28"/>
          <w:szCs w:val="28"/>
        </w:rPr>
      </w:pPr>
      <w:r>
        <w:rPr>
          <w:rFonts w:hint="eastAsia" w:hAnsi="仿宋" w:cs="仿宋"/>
          <w:sz w:val="28"/>
          <w:szCs w:val="28"/>
        </w:rPr>
        <w:t>2022年07月08日—07月11日  青岛市（08日全天报到）</w:t>
      </w:r>
    </w:p>
    <w:p>
      <w:pPr>
        <w:pStyle w:val="2"/>
        <w:spacing w:line="420" w:lineRule="exact"/>
        <w:ind w:left="0" w:firstLine="560"/>
        <w:rPr>
          <w:rFonts w:hint="eastAsia" w:hAnsi="仿宋" w:cs="仿宋"/>
          <w:sz w:val="28"/>
          <w:szCs w:val="28"/>
        </w:rPr>
      </w:pPr>
      <w:r>
        <w:rPr>
          <w:rFonts w:hint="eastAsia" w:hAnsi="仿宋" w:cs="仿宋"/>
          <w:sz w:val="28"/>
          <w:szCs w:val="28"/>
        </w:rPr>
        <w:t>2022年07月22日—07月25日  成都市（22日全天报到）</w:t>
      </w:r>
    </w:p>
    <w:p>
      <w:pPr>
        <w:pStyle w:val="2"/>
        <w:spacing w:line="420" w:lineRule="exact"/>
        <w:ind w:left="0" w:firstLine="560"/>
        <w:rPr>
          <w:rFonts w:hint="eastAsia" w:hAnsi="仿宋" w:cs="仿宋"/>
          <w:sz w:val="28"/>
          <w:szCs w:val="28"/>
        </w:rPr>
      </w:pPr>
      <w:r>
        <w:rPr>
          <w:rFonts w:hint="eastAsia" w:hAnsi="仿宋" w:cs="仿宋"/>
          <w:sz w:val="28"/>
          <w:szCs w:val="28"/>
        </w:rPr>
        <w:t>2022年08月12日—08月15日  贵阳市（12日全天报到）</w:t>
      </w:r>
    </w:p>
    <w:p>
      <w:pPr>
        <w:pStyle w:val="2"/>
        <w:spacing w:line="420" w:lineRule="exact"/>
        <w:ind w:left="0" w:firstLine="560"/>
        <w:rPr>
          <w:rFonts w:hint="eastAsia" w:hAnsi="仿宋" w:cs="仿宋"/>
          <w:sz w:val="28"/>
          <w:szCs w:val="28"/>
        </w:rPr>
      </w:pPr>
      <w:r>
        <w:rPr>
          <w:rFonts w:hint="eastAsia" w:hAnsi="仿宋" w:cs="仿宋"/>
          <w:sz w:val="28"/>
          <w:szCs w:val="28"/>
        </w:rPr>
        <w:t>2022年08月26日—08月29日  郑州市（26日全天报到）</w:t>
      </w:r>
    </w:p>
    <w:p>
      <w:pPr>
        <w:pStyle w:val="2"/>
        <w:spacing w:line="420" w:lineRule="exact"/>
        <w:ind w:left="0" w:firstLine="560"/>
        <w:rPr>
          <w:rFonts w:hint="eastAsia" w:hAnsi="仿宋" w:cs="仿宋"/>
          <w:sz w:val="28"/>
          <w:szCs w:val="28"/>
        </w:rPr>
      </w:pPr>
      <w:r>
        <w:rPr>
          <w:rFonts w:hint="eastAsia" w:hAnsi="仿宋" w:cs="仿宋"/>
          <w:sz w:val="28"/>
          <w:szCs w:val="28"/>
        </w:rPr>
        <w:t>2022年09月16日—09月19日  西安市（16日全天报到）</w:t>
      </w:r>
    </w:p>
    <w:p>
      <w:pPr>
        <w:pStyle w:val="2"/>
        <w:spacing w:line="420" w:lineRule="exact"/>
        <w:ind w:left="0" w:firstLine="600"/>
        <w:rPr>
          <w:rFonts w:hint="eastAsia" w:hAnsi="仿宋" w:cs="仿宋"/>
          <w:spacing w:val="10"/>
          <w:sz w:val="28"/>
          <w:szCs w:val="28"/>
        </w:rPr>
      </w:pPr>
      <w:r>
        <w:rPr>
          <w:rFonts w:hint="eastAsia" w:hAnsi="仿宋" w:cs="仿宋"/>
          <w:spacing w:val="10"/>
          <w:sz w:val="28"/>
          <w:szCs w:val="28"/>
        </w:rPr>
        <w:t>（因疫情采取线上线下同步授课，费用不变，线上学员2022年可免费参加线下公开课一次）</w:t>
      </w:r>
    </w:p>
    <w:p>
      <w:pPr>
        <w:spacing w:line="420" w:lineRule="exact"/>
        <w:ind w:right="-182" w:rightChars="-91"/>
        <w:rPr>
          <w:rFonts w:hint="eastAsia" w:ascii="仿宋" w:hAnsi="仿宋" w:eastAsia="仿宋" w:cs="仿宋"/>
          <w:b/>
          <w:kern w:val="2"/>
          <w:sz w:val="28"/>
          <w:szCs w:val="28"/>
        </w:rPr>
      </w:pPr>
      <w:r>
        <w:rPr>
          <w:rFonts w:hint="eastAsia" w:ascii="仿宋" w:hAnsi="仿宋" w:eastAsia="仿宋" w:cs="仿宋"/>
          <w:b/>
          <w:color w:val="333333"/>
          <w:sz w:val="28"/>
          <w:szCs w:val="28"/>
          <w:shd w:val="clear" w:color="auto" w:fill="FFFFFF"/>
        </w:rPr>
        <w:t>六、</w:t>
      </w:r>
      <w:r>
        <w:rPr>
          <w:rFonts w:hint="eastAsia" w:ascii="仿宋" w:hAnsi="仿宋" w:eastAsia="仿宋" w:cs="仿宋"/>
          <w:b/>
          <w:kern w:val="2"/>
          <w:sz w:val="28"/>
          <w:szCs w:val="28"/>
        </w:rPr>
        <w:t>培训费用</w:t>
      </w:r>
    </w:p>
    <w:p>
      <w:pPr>
        <w:spacing w:line="420" w:lineRule="exact"/>
        <w:ind w:firstLine="600" w:firstLineChars="200"/>
        <w:rPr>
          <w:rFonts w:ascii="仿宋" w:hAnsi="仿宋" w:eastAsia="仿宋" w:cs="仿宋"/>
          <w:color w:val="000000"/>
          <w:spacing w:val="10"/>
          <w:sz w:val="28"/>
          <w:szCs w:val="28"/>
        </w:rPr>
      </w:pPr>
      <w:r>
        <w:rPr>
          <w:rFonts w:hint="eastAsia" w:ascii="仿宋" w:hAnsi="仿宋" w:eastAsia="仿宋" w:cs="仿宋"/>
          <w:color w:val="000000"/>
          <w:spacing w:val="10"/>
          <w:sz w:val="28"/>
          <w:szCs w:val="28"/>
        </w:rPr>
        <w:t>A.3600元/人（含培训、资料、电子课件、场地及培训期间午餐），住宿统一安排，费用自理。</w:t>
      </w:r>
    </w:p>
    <w:p>
      <w:pPr>
        <w:spacing w:line="420" w:lineRule="exact"/>
        <w:ind w:firstLine="600" w:firstLineChars="200"/>
        <w:rPr>
          <w:rFonts w:ascii="仿宋" w:hAnsi="仿宋" w:eastAsia="仿宋" w:cs="仿宋"/>
          <w:color w:val="000000"/>
          <w:spacing w:val="10"/>
          <w:sz w:val="28"/>
          <w:szCs w:val="28"/>
        </w:rPr>
      </w:pPr>
      <w:r>
        <w:rPr>
          <w:rFonts w:hint="eastAsia" w:ascii="仿宋" w:hAnsi="仿宋" w:eastAsia="仿宋" w:cs="仿宋"/>
          <w:color w:val="000000"/>
          <w:spacing w:val="10"/>
          <w:sz w:val="28"/>
          <w:szCs w:val="28"/>
        </w:rPr>
        <w:t>B.5600元/人（含培训、资料、电子课件、场地、证书及培训期间午餐），住宿统一安排，费用自理。</w:t>
      </w:r>
    </w:p>
    <w:p>
      <w:pPr>
        <w:widowControl w:val="0"/>
        <w:spacing w:line="420" w:lineRule="exact"/>
        <w:rPr>
          <w:rFonts w:hint="eastAsia" w:ascii="仿宋" w:hAnsi="仿宋" w:eastAsia="仿宋" w:cs="仿宋"/>
          <w:b/>
          <w:kern w:val="2"/>
          <w:sz w:val="28"/>
          <w:szCs w:val="28"/>
        </w:rPr>
      </w:pPr>
      <w:r>
        <w:rPr>
          <w:rFonts w:hint="eastAsia" w:ascii="仿宋" w:hAnsi="仿宋" w:eastAsia="仿宋" w:cs="仿宋"/>
          <w:b/>
          <w:kern w:val="2"/>
          <w:sz w:val="28"/>
          <w:szCs w:val="28"/>
        </w:rPr>
        <w:t>七、课程权益</w:t>
      </w:r>
    </w:p>
    <w:p>
      <w:pPr>
        <w:spacing w:line="420" w:lineRule="exact"/>
        <w:ind w:firstLine="600" w:firstLineChars="200"/>
        <w:textAlignment w:val="baseline"/>
        <w:rPr>
          <w:rFonts w:ascii="仿宋" w:hAnsi="仿宋" w:eastAsia="仿宋" w:cs="仿宋"/>
          <w:color w:val="000000"/>
          <w:spacing w:val="10"/>
          <w:sz w:val="28"/>
          <w:szCs w:val="28"/>
        </w:rPr>
      </w:pPr>
      <w:r>
        <w:rPr>
          <w:rFonts w:hint="eastAsia" w:ascii="仿宋" w:hAnsi="仿宋" w:eastAsia="仿宋" w:cs="仿宋"/>
          <w:color w:val="000000"/>
          <w:spacing w:val="10"/>
          <w:sz w:val="28"/>
          <w:szCs w:val="28"/>
        </w:rPr>
        <w:t>本培训班常年举办，本人全年免费复训一次，只交资料费300元即可，赠送同主题一次网络课程；</w:t>
      </w:r>
    </w:p>
    <w:p>
      <w:pPr>
        <w:spacing w:line="420" w:lineRule="exact"/>
        <w:ind w:firstLine="600" w:firstLineChars="200"/>
        <w:jc w:val="left"/>
        <w:textAlignment w:val="baseline"/>
        <w:rPr>
          <w:rFonts w:ascii="仿宋" w:hAnsi="仿宋" w:eastAsia="仿宋" w:cs="仿宋"/>
          <w:sz w:val="28"/>
          <w:szCs w:val="28"/>
        </w:rPr>
      </w:pPr>
      <w:r>
        <w:rPr>
          <w:rFonts w:hint="eastAsia" w:ascii="仿宋" w:hAnsi="仿宋" w:eastAsia="仿宋" w:cs="仿宋"/>
          <w:color w:val="000000"/>
          <w:spacing w:val="10"/>
          <w:sz w:val="28"/>
          <w:szCs w:val="28"/>
        </w:rPr>
        <w:t>培训结束后，经考核合格，由我会颁发</w:t>
      </w:r>
      <w:r>
        <w:rPr>
          <w:rFonts w:hint="eastAsia" w:ascii="仿宋" w:hAnsi="仿宋" w:eastAsia="仿宋" w:cs="仿宋"/>
          <w:spacing w:val="10"/>
          <w:sz w:val="28"/>
          <w:szCs w:val="28"/>
        </w:rPr>
        <w:t>《工程造价全过程管控经理》、《工程项目招标经理》</w:t>
      </w:r>
      <w:r>
        <w:rPr>
          <w:rFonts w:hint="eastAsia" w:ascii="仿宋" w:hAnsi="仿宋" w:eastAsia="仿宋" w:cs="仿宋"/>
          <w:color w:val="000000"/>
          <w:spacing w:val="10"/>
          <w:sz w:val="28"/>
          <w:szCs w:val="28"/>
        </w:rPr>
        <w:t>证书，证书申报需提供报名回执表、二寸蓝底免冠彩色照片（电子版）、身份证复印件、学历证书复印件各一份。</w:t>
      </w:r>
    </w:p>
    <w:p>
      <w:pPr>
        <w:widowControl w:val="0"/>
        <w:spacing w:line="440" w:lineRule="exact"/>
        <w:ind w:firstLine="600" w:firstLineChars="200"/>
        <w:rPr>
          <w:rFonts w:hint="eastAsia" w:hAnsi="仿宋" w:cs="仿宋"/>
          <w:spacing w:val="10"/>
          <w:sz w:val="28"/>
          <w:szCs w:val="28"/>
        </w:rPr>
      </w:pPr>
      <w:r>
        <w:rPr>
          <w:rFonts w:hint="eastAsia" w:ascii="仿宋" w:hAnsi="仿宋" w:eastAsia="仿宋" w:cs="仿宋"/>
          <w:spacing w:val="10"/>
          <w:kern w:val="2"/>
          <w:sz w:val="28"/>
          <w:szCs w:val="28"/>
          <w:shd w:val="clear" w:color="auto" w:fill="auto"/>
        </w:rPr>
        <w:t xml:space="preserve">  </w:t>
      </w:r>
    </w:p>
    <w:p>
      <w:pPr>
        <w:pStyle w:val="2"/>
        <w:spacing w:line="440" w:lineRule="exact"/>
        <w:ind w:firstLine="600"/>
        <w:rPr>
          <w:rFonts w:hint="eastAsia" w:hAnsi="仿宋" w:cs="仿宋"/>
          <w:spacing w:val="10"/>
          <w:sz w:val="28"/>
          <w:szCs w:val="28"/>
        </w:rPr>
      </w:pPr>
    </w:p>
    <w:p>
      <w:pPr>
        <w:pStyle w:val="2"/>
        <w:ind w:firstLine="600"/>
        <w:rPr>
          <w:rFonts w:hint="eastAsia" w:hAnsi="仿宋" w:cs="仿宋"/>
          <w:spacing w:val="10"/>
          <w:sz w:val="28"/>
          <w:szCs w:val="28"/>
        </w:rPr>
      </w:pPr>
    </w:p>
    <w:p>
      <w:pPr>
        <w:pStyle w:val="2"/>
        <w:ind w:firstLine="562"/>
        <w:rPr>
          <w:rFonts w:hint="eastAsia" w:hAnsi="仿宋" w:cs="仿宋"/>
          <w:spacing w:val="10"/>
          <w:sz w:val="28"/>
          <w:szCs w:val="28"/>
        </w:rPr>
      </w:pPr>
      <w:r>
        <w:rPr>
          <w:rFonts w:hint="eastAsia" w:hAnsi="仿宋" w:cs="仿宋"/>
          <w:b/>
          <w:bCs/>
          <w:sz w:val="28"/>
          <w:szCs w:val="28"/>
        </w:rPr>
        <w:drawing>
          <wp:anchor distT="0" distB="0" distL="114300" distR="114300" simplePos="0" relativeHeight="251659264" behindDoc="1" locked="0" layoutInCell="1" allowOverlap="1">
            <wp:simplePos x="0" y="0"/>
            <wp:positionH relativeFrom="column">
              <wp:posOffset>3292475</wp:posOffset>
            </wp:positionH>
            <wp:positionV relativeFrom="paragraph">
              <wp:posOffset>28575</wp:posOffset>
            </wp:positionV>
            <wp:extent cx="1452245" cy="1442720"/>
            <wp:effectExtent l="19050" t="0" r="0" b="0"/>
            <wp:wrapNone/>
            <wp:docPr id="10" name="图片 2" descr="中国国际工程咨询协会（无背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中国国际工程咨询协会（无背景）"/>
                    <pic:cNvPicPr>
                      <a:picLocks noChangeAspect="1" noChangeArrowheads="1"/>
                    </pic:cNvPicPr>
                  </pic:nvPicPr>
                  <pic:blipFill>
                    <a:blip r:embed="rId5">
                      <a:lum bright="22000"/>
                    </a:blip>
                    <a:srcRect/>
                    <a:stretch>
                      <a:fillRect/>
                    </a:stretch>
                  </pic:blipFill>
                  <pic:spPr>
                    <a:xfrm>
                      <a:off x="0" y="0"/>
                      <a:ext cx="1452245" cy="1442720"/>
                    </a:xfrm>
                    <a:prstGeom prst="rect">
                      <a:avLst/>
                    </a:prstGeom>
                    <a:noFill/>
                    <a:ln w="9525" cmpd="sng">
                      <a:noFill/>
                      <a:miter lim="800000"/>
                      <a:headEnd/>
                      <a:tailEnd/>
                    </a:ln>
                  </pic:spPr>
                </pic:pic>
              </a:graphicData>
            </a:graphic>
          </wp:anchor>
        </w:drawing>
      </w:r>
    </w:p>
    <w:p>
      <w:pPr>
        <w:spacing w:line="400" w:lineRule="exact"/>
        <w:ind w:firstLine="4800" w:firstLineChars="1600"/>
        <w:textAlignment w:val="baseline"/>
        <w:outlineLvl w:val="0"/>
        <w:rPr>
          <w:rFonts w:ascii="仿宋" w:hAnsi="仿宋" w:eastAsia="仿宋" w:cs="仿宋_GB2312"/>
          <w:bCs/>
          <w:color w:val="000000"/>
          <w:sz w:val="30"/>
          <w:szCs w:val="30"/>
        </w:rPr>
      </w:pPr>
      <w:r>
        <w:rPr>
          <w:rFonts w:hint="eastAsia" w:ascii="仿宋" w:hAnsi="仿宋" w:eastAsia="仿宋" w:cs="仿宋_GB2312"/>
          <w:bCs/>
          <w:color w:val="000000"/>
          <w:sz w:val="30"/>
          <w:szCs w:val="30"/>
        </w:rPr>
        <w:t>中国国际工程咨询协会</w:t>
      </w:r>
    </w:p>
    <w:p>
      <w:pPr>
        <w:pStyle w:val="2"/>
        <w:ind w:firstLine="4950" w:firstLineChars="1650"/>
        <w:rPr>
          <w:rFonts w:hint="eastAsia" w:hAnsi="仿宋" w:cs="仿宋"/>
          <w:spacing w:val="10"/>
          <w:sz w:val="28"/>
          <w:szCs w:val="28"/>
        </w:rPr>
      </w:pPr>
      <w:r>
        <w:rPr>
          <w:rFonts w:hint="eastAsia" w:hAnsi="仿宋" w:cs="仿宋_GB2312"/>
          <w:bCs/>
          <w:color w:val="000000"/>
          <w:sz w:val="30"/>
          <w:szCs w:val="30"/>
        </w:rPr>
        <w:t>2022年6月2日</w:t>
      </w:r>
    </w:p>
    <w:p>
      <w:pPr>
        <w:jc w:val="center"/>
        <w:rPr>
          <w:rFonts w:hint="eastAsia" w:ascii="仿宋" w:hAnsi="仿宋" w:eastAsia="仿宋" w:cs="仿宋"/>
          <w:b/>
          <w:bCs/>
          <w:sz w:val="30"/>
          <w:szCs w:val="30"/>
        </w:rPr>
      </w:pPr>
      <w:bookmarkStart w:id="0" w:name="_Hlk88733974"/>
    </w:p>
    <w:p>
      <w:pPr>
        <w:pStyle w:val="2"/>
        <w:rPr>
          <w:rFonts w:hint="eastAsia"/>
        </w:rPr>
      </w:pPr>
    </w:p>
    <w:p>
      <w:pPr>
        <w:jc w:val="center"/>
        <w:rPr>
          <w:rFonts w:hint="eastAsia" w:ascii="仿宋" w:hAnsi="仿宋" w:eastAsia="仿宋" w:cs="仿宋"/>
          <w:b/>
          <w:bCs/>
          <w:sz w:val="30"/>
          <w:szCs w:val="30"/>
        </w:rPr>
      </w:pPr>
    </w:p>
    <w:p>
      <w:pPr>
        <w:jc w:val="center"/>
        <w:rPr>
          <w:rFonts w:hint="eastAsia" w:ascii="仿宋" w:hAnsi="仿宋" w:eastAsia="仿宋" w:cs="仿宋"/>
          <w:b/>
          <w:bCs/>
          <w:sz w:val="30"/>
          <w:szCs w:val="30"/>
        </w:rPr>
      </w:pPr>
    </w:p>
    <w:p>
      <w:pPr>
        <w:jc w:val="center"/>
        <w:rPr>
          <w:rFonts w:hint="eastAsia" w:ascii="仿宋" w:hAnsi="仿宋" w:eastAsia="仿宋" w:cs="仿宋"/>
          <w:b/>
          <w:bCs/>
          <w:sz w:val="30"/>
          <w:szCs w:val="30"/>
        </w:rPr>
      </w:pPr>
    </w:p>
    <w:p>
      <w:pPr>
        <w:jc w:val="center"/>
        <w:rPr>
          <w:rFonts w:hint="eastAsia" w:ascii="仿宋" w:hAnsi="仿宋" w:eastAsia="仿宋" w:cs="仿宋"/>
          <w:b/>
          <w:bCs/>
          <w:sz w:val="28"/>
          <w:szCs w:val="28"/>
        </w:rPr>
      </w:pPr>
      <w:r>
        <w:rPr>
          <w:rFonts w:hint="eastAsia" w:ascii="仿宋" w:hAnsi="仿宋" w:eastAsia="仿宋" w:cs="仿宋"/>
          <w:b/>
          <w:bCs/>
          <w:sz w:val="30"/>
          <w:szCs w:val="30"/>
        </w:rPr>
        <w:t>新版《清单计价标准》背景下工程造价全过程管控实战100问与招标采购管理专题培训班</w:t>
      </w:r>
      <w:r>
        <w:rPr>
          <w:rFonts w:hint="eastAsia" w:ascii="仿宋" w:hAnsi="仿宋" w:eastAsia="仿宋" w:cs="仿宋"/>
          <w:b/>
          <w:bCs/>
          <w:sz w:val="28"/>
          <w:szCs w:val="28"/>
        </w:rPr>
        <w:t>报名表</w:t>
      </w:r>
      <w:bookmarkEnd w:id="0"/>
    </w:p>
    <w:tbl>
      <w:tblPr>
        <w:tblStyle w:val="9"/>
        <w:tblpPr w:leftFromText="180" w:rightFromText="180" w:vertAnchor="text" w:horzAnchor="page" w:tblpX="1225" w:tblpY="287"/>
        <w:tblW w:w="98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8"/>
        <w:gridCol w:w="947"/>
        <w:gridCol w:w="1200"/>
        <w:gridCol w:w="1952"/>
        <w:gridCol w:w="1993"/>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单位名称</w:t>
            </w:r>
          </w:p>
        </w:tc>
        <w:tc>
          <w:tcPr>
            <w:tcW w:w="4099" w:type="dxa"/>
            <w:gridSpan w:val="3"/>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邮 编</w:t>
            </w:r>
          </w:p>
        </w:tc>
        <w:tc>
          <w:tcPr>
            <w:tcW w:w="2067"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单位地址</w:t>
            </w:r>
          </w:p>
        </w:tc>
        <w:tc>
          <w:tcPr>
            <w:tcW w:w="8159" w:type="dxa"/>
            <w:gridSpan w:val="5"/>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联 系 人</w:t>
            </w:r>
          </w:p>
        </w:tc>
        <w:tc>
          <w:tcPr>
            <w:tcW w:w="2147" w:type="dxa"/>
            <w:gridSpan w:val="2"/>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职    务</w:t>
            </w:r>
          </w:p>
        </w:tc>
        <w:tc>
          <w:tcPr>
            <w:tcW w:w="4060" w:type="dxa"/>
            <w:gridSpan w:val="2"/>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手    机</w:t>
            </w:r>
          </w:p>
        </w:tc>
        <w:tc>
          <w:tcPr>
            <w:tcW w:w="2147" w:type="dxa"/>
            <w:gridSpan w:val="2"/>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jc w:val="center"/>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办公电话</w:t>
            </w:r>
          </w:p>
        </w:tc>
        <w:tc>
          <w:tcPr>
            <w:tcW w:w="4060" w:type="dxa"/>
            <w:gridSpan w:val="2"/>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传    真</w:t>
            </w:r>
          </w:p>
        </w:tc>
        <w:tc>
          <w:tcPr>
            <w:tcW w:w="2147" w:type="dxa"/>
            <w:gridSpan w:val="2"/>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电子信箱</w:t>
            </w:r>
          </w:p>
        </w:tc>
        <w:tc>
          <w:tcPr>
            <w:tcW w:w="4060" w:type="dxa"/>
            <w:gridSpan w:val="2"/>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参训人员</w:t>
            </w:r>
          </w:p>
        </w:tc>
        <w:tc>
          <w:tcPr>
            <w:tcW w:w="947"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性 别</w:t>
            </w:r>
          </w:p>
        </w:tc>
        <w:tc>
          <w:tcPr>
            <w:tcW w:w="1200"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职  务</w:t>
            </w:r>
          </w:p>
        </w:tc>
        <w:tc>
          <w:tcPr>
            <w:tcW w:w="1952"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电    话</w:t>
            </w:r>
          </w:p>
        </w:tc>
        <w:tc>
          <w:tcPr>
            <w:tcW w:w="1993"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手  机</w:t>
            </w:r>
          </w:p>
        </w:tc>
        <w:tc>
          <w:tcPr>
            <w:tcW w:w="2067"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邮  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94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200"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93"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2067" w:type="dxa"/>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参训时间</w:t>
            </w:r>
          </w:p>
        </w:tc>
        <w:tc>
          <w:tcPr>
            <w:tcW w:w="2147" w:type="dxa"/>
            <w:gridSpan w:val="2"/>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c>
          <w:tcPr>
            <w:tcW w:w="1952" w:type="dxa"/>
            <w:vAlign w:val="center"/>
          </w:tcPr>
          <w:p>
            <w:pPr>
              <w:tabs>
                <w:tab w:val="left" w:pos="567"/>
                <w:tab w:val="left" w:pos="709"/>
              </w:tabs>
              <w:spacing w:line="300" w:lineRule="exact"/>
              <w:jc w:val="center"/>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参训地点</w:t>
            </w:r>
          </w:p>
        </w:tc>
        <w:tc>
          <w:tcPr>
            <w:tcW w:w="4060" w:type="dxa"/>
            <w:gridSpan w:val="2"/>
            <w:vAlign w:val="center"/>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住宿标准</w:t>
            </w:r>
          </w:p>
        </w:tc>
        <w:tc>
          <w:tcPr>
            <w:tcW w:w="8159" w:type="dxa"/>
            <w:gridSpan w:val="5"/>
            <w:vAlign w:val="center"/>
          </w:tcPr>
          <w:p>
            <w:pPr>
              <w:tabs>
                <w:tab w:val="left" w:pos="567"/>
                <w:tab w:val="left" w:pos="709"/>
              </w:tabs>
              <w:spacing w:line="300" w:lineRule="exact"/>
              <w:ind w:firstLine="720" w:firstLineChars="300"/>
              <w:textAlignment w:val="baseline"/>
              <w:outlineLvl w:val="0"/>
              <w:rPr>
                <w:rFonts w:ascii="仿宋" w:hAnsi="仿宋" w:eastAsia="仿宋" w:cs="仿宋"/>
                <w:bCs/>
                <w:color w:val="000000"/>
                <w:sz w:val="24"/>
              </w:rPr>
            </w:pPr>
            <w:r>
              <w:rPr>
                <w:rFonts w:hint="eastAsia" w:ascii="仿宋" w:hAnsi="仿宋" w:eastAsia="仿宋" w:cs="仿宋"/>
                <w:bCs/>
                <w:color w:val="000000"/>
                <w:sz w:val="24"/>
              </w:rPr>
              <w:t>□ 单住            □ 合住            □自理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证书申报</w:t>
            </w:r>
          </w:p>
        </w:tc>
        <w:tc>
          <w:tcPr>
            <w:tcW w:w="8159" w:type="dxa"/>
            <w:gridSpan w:val="5"/>
            <w:vAlign w:val="center"/>
          </w:tcPr>
          <w:p>
            <w:pPr>
              <w:tabs>
                <w:tab w:val="left" w:pos="567"/>
                <w:tab w:val="left" w:pos="709"/>
              </w:tabs>
              <w:spacing w:line="300" w:lineRule="exact"/>
              <w:ind w:firstLine="720" w:firstLineChars="300"/>
              <w:textAlignment w:val="baseline"/>
              <w:outlineLvl w:val="0"/>
              <w:rPr>
                <w:rFonts w:ascii="仿宋" w:hAnsi="仿宋" w:eastAsia="仿宋" w:cs="仿宋"/>
                <w:bCs/>
                <w:color w:val="000000"/>
                <w:sz w:val="24"/>
              </w:rPr>
            </w:pPr>
            <w:r>
              <w:rPr>
                <w:rFonts w:hint="eastAsia" w:ascii="仿宋" w:hAnsi="仿宋" w:eastAsia="仿宋" w:cs="仿宋"/>
                <w:bCs/>
                <w:sz w:val="24"/>
              </w:rPr>
              <w:sym w:font="Wingdings 2" w:char="00A3"/>
            </w:r>
            <w:r>
              <w:rPr>
                <w:rFonts w:hint="eastAsia" w:ascii="仿宋" w:hAnsi="仿宋" w:eastAsia="仿宋" w:cs="仿宋"/>
                <w:bCs/>
                <w:sz w:val="24"/>
              </w:rPr>
              <w:t xml:space="preserve"> 《工程造价全过程管控经理》         </w:t>
            </w:r>
            <w:r>
              <w:rPr>
                <w:rFonts w:hint="eastAsia" w:ascii="仿宋" w:hAnsi="仿宋" w:eastAsia="仿宋" w:cs="仿宋"/>
                <w:bCs/>
                <w:sz w:val="24"/>
              </w:rPr>
              <w:sym w:font="Wingdings 2" w:char="00A3"/>
            </w:r>
            <w:r>
              <w:rPr>
                <w:rFonts w:hint="eastAsia" w:ascii="仿宋" w:hAnsi="仿宋" w:eastAsia="仿宋" w:cs="仿宋"/>
                <w:bCs/>
                <w:sz w:val="24"/>
              </w:rPr>
              <w:t>《工程项目招标经理》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付款方式</w:t>
            </w:r>
          </w:p>
        </w:tc>
        <w:tc>
          <w:tcPr>
            <w:tcW w:w="4099" w:type="dxa"/>
            <w:gridSpan w:val="3"/>
            <w:vAlign w:val="center"/>
          </w:tcPr>
          <w:p>
            <w:pPr>
              <w:tabs>
                <w:tab w:val="left" w:pos="567"/>
                <w:tab w:val="left" w:pos="709"/>
              </w:tabs>
              <w:spacing w:line="300" w:lineRule="exact"/>
              <w:ind w:firstLine="720" w:firstLineChars="300"/>
              <w:textAlignment w:val="baseline"/>
              <w:outlineLvl w:val="0"/>
              <w:rPr>
                <w:rFonts w:ascii="仿宋" w:hAnsi="仿宋" w:eastAsia="仿宋" w:cs="仿宋"/>
                <w:bCs/>
                <w:color w:val="000000"/>
                <w:sz w:val="24"/>
              </w:rPr>
            </w:pPr>
            <w:r>
              <w:rPr>
                <w:rFonts w:hint="eastAsia" w:ascii="仿宋" w:hAnsi="仿宋" w:eastAsia="仿宋" w:cs="仿宋"/>
                <w:bCs/>
                <w:color w:val="000000"/>
                <w:sz w:val="24"/>
              </w:rPr>
              <w:sym w:font="Wingdings 2" w:char="00A3"/>
            </w:r>
            <w:r>
              <w:rPr>
                <w:rFonts w:hint="eastAsia" w:ascii="仿宋" w:hAnsi="仿宋" w:eastAsia="仿宋" w:cs="仿宋"/>
                <w:bCs/>
                <w:color w:val="000000"/>
                <w:sz w:val="24"/>
              </w:rPr>
              <w:t xml:space="preserve"> 转 账           </w:t>
            </w:r>
            <w:r>
              <w:rPr>
                <w:rFonts w:hint="eastAsia" w:ascii="仿宋" w:hAnsi="仿宋" w:eastAsia="仿宋" w:cs="仿宋"/>
                <w:bCs/>
                <w:color w:val="000000"/>
                <w:sz w:val="24"/>
              </w:rPr>
              <w:sym w:font="Wingdings 2" w:char="00A3"/>
            </w:r>
            <w:r>
              <w:rPr>
                <w:rFonts w:hint="eastAsia" w:ascii="仿宋" w:hAnsi="仿宋" w:eastAsia="仿宋" w:cs="仿宋"/>
                <w:bCs/>
                <w:color w:val="000000"/>
                <w:sz w:val="24"/>
              </w:rPr>
              <w:t>现场</w:t>
            </w:r>
          </w:p>
        </w:tc>
        <w:tc>
          <w:tcPr>
            <w:tcW w:w="1993"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金 额</w:t>
            </w:r>
          </w:p>
        </w:tc>
        <w:tc>
          <w:tcPr>
            <w:tcW w:w="2067" w:type="dxa"/>
          </w:tcPr>
          <w:p>
            <w:pPr>
              <w:tabs>
                <w:tab w:val="left" w:pos="567"/>
                <w:tab w:val="left" w:pos="709"/>
              </w:tabs>
              <w:spacing w:line="300" w:lineRule="exact"/>
              <w:textAlignment w:val="baseline"/>
              <w:outlineLvl w:val="0"/>
              <w:rPr>
                <w:rFonts w:ascii="仿宋" w:hAnsi="仿宋" w:eastAsia="仿宋" w:cs="仿宋"/>
                <w:bCs/>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p>
          <w:p>
            <w:pPr>
              <w:tabs>
                <w:tab w:val="left" w:pos="567"/>
                <w:tab w:val="left" w:pos="709"/>
              </w:tabs>
              <w:spacing w:line="300" w:lineRule="exact"/>
              <w:jc w:val="center"/>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收款信息</w:t>
            </w:r>
          </w:p>
        </w:tc>
        <w:tc>
          <w:tcPr>
            <w:tcW w:w="8159" w:type="dxa"/>
            <w:gridSpan w:val="5"/>
          </w:tcPr>
          <w:p>
            <w:pPr>
              <w:spacing w:line="360" w:lineRule="exact"/>
              <w:ind w:right="-140" w:rightChars="-7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单位全称:</w:t>
            </w:r>
            <w:r>
              <w:rPr>
                <w:rFonts w:hint="eastAsia" w:ascii="仿宋" w:hAnsi="仿宋" w:eastAsia="仿宋" w:cs="仿宋"/>
                <w:bCs/>
                <w:sz w:val="24"/>
                <w:szCs w:val="24"/>
                <w:lang w:val="zh-CN"/>
              </w:rPr>
              <w:tab/>
            </w:r>
            <w:r>
              <w:rPr>
                <w:rFonts w:hint="eastAsia" w:ascii="仿宋" w:hAnsi="仿宋" w:eastAsia="仿宋" w:cs="仿宋"/>
                <w:bCs/>
                <w:sz w:val="24"/>
                <w:szCs w:val="24"/>
                <w:lang w:val="zh-CN"/>
              </w:rPr>
              <w:t>北京中科善若教育咨询有限公司</w:t>
            </w:r>
          </w:p>
          <w:p>
            <w:pPr>
              <w:spacing w:line="360" w:lineRule="exact"/>
              <w:ind w:right="-140" w:rightChars="-7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开 户 行：</w:t>
            </w:r>
            <w:r>
              <w:rPr>
                <w:rFonts w:hint="eastAsia" w:ascii="仿宋" w:hAnsi="仿宋" w:eastAsia="仿宋" w:cs="仿宋"/>
                <w:bCs/>
                <w:sz w:val="24"/>
                <w:szCs w:val="24"/>
                <w:lang w:val="zh-CN"/>
              </w:rPr>
              <w:tab/>
            </w:r>
            <w:r>
              <w:rPr>
                <w:rFonts w:hint="eastAsia" w:ascii="仿宋" w:hAnsi="仿宋" w:eastAsia="仿宋" w:cs="仿宋"/>
                <w:bCs/>
                <w:sz w:val="24"/>
                <w:szCs w:val="24"/>
                <w:lang w:val="zh-CN"/>
              </w:rPr>
              <w:t>中国工商银行股份有限公司北京半壁店支行</w:t>
            </w:r>
          </w:p>
          <w:p>
            <w:pPr>
              <w:spacing w:line="360" w:lineRule="exact"/>
              <w:ind w:right="-140" w:rightChars="-7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帐    户：</w:t>
            </w:r>
            <w:r>
              <w:rPr>
                <w:rFonts w:hint="eastAsia" w:ascii="仿宋" w:hAnsi="仿宋" w:eastAsia="仿宋" w:cs="仿宋"/>
                <w:bCs/>
                <w:sz w:val="24"/>
                <w:szCs w:val="24"/>
              </w:rPr>
              <w:t xml:space="preserve"> </w:t>
            </w:r>
            <w:r>
              <w:rPr>
                <w:rFonts w:hint="eastAsia" w:ascii="仿宋" w:hAnsi="仿宋" w:eastAsia="仿宋" w:cs="仿宋"/>
                <w:bCs/>
                <w:sz w:val="24"/>
                <w:szCs w:val="24"/>
                <w:lang w:val="zh-CN"/>
              </w:rPr>
              <w:t>0200247009200077514</w:t>
            </w:r>
          </w:p>
          <w:p>
            <w:pPr>
              <w:tabs>
                <w:tab w:val="left" w:pos="567"/>
                <w:tab w:val="left" w:pos="709"/>
              </w:tabs>
              <w:spacing w:line="300" w:lineRule="exact"/>
              <w:textAlignment w:val="baseline"/>
              <w:outlineLvl w:val="0"/>
              <w:rPr>
                <w:rFonts w:ascii="仿宋" w:hAnsi="仿宋" w:eastAsia="仿宋" w:cs="仿宋"/>
                <w:bCs/>
                <w:color w:val="000000"/>
                <w:sz w:val="24"/>
              </w:rPr>
            </w:pPr>
            <w:r>
              <w:rPr>
                <w:rFonts w:hint="eastAsia" w:ascii="仿宋" w:hAnsi="仿宋" w:eastAsia="仿宋" w:cs="仿宋"/>
                <w:bCs/>
                <w:sz w:val="24"/>
                <w:szCs w:val="24"/>
                <w:lang w:val="zh-CN"/>
              </w:rPr>
              <w:t>行    号:</w:t>
            </w:r>
            <w:r>
              <w:rPr>
                <w:rFonts w:hint="eastAsia" w:ascii="仿宋" w:hAnsi="仿宋" w:eastAsia="仿宋" w:cs="仿宋"/>
                <w:bCs/>
                <w:sz w:val="24"/>
                <w:szCs w:val="24"/>
              </w:rPr>
              <w:t xml:space="preserve">  </w:t>
            </w:r>
            <w:r>
              <w:rPr>
                <w:rFonts w:hint="eastAsia" w:ascii="仿宋" w:hAnsi="仿宋" w:eastAsia="仿宋" w:cs="仿宋"/>
                <w:bCs/>
                <w:sz w:val="24"/>
                <w:szCs w:val="24"/>
                <w:lang w:val="zh-CN"/>
              </w:rPr>
              <w:t>102100024703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trPr>
        <w:tc>
          <w:tcPr>
            <w:tcW w:w="1678" w:type="dxa"/>
            <w:vAlign w:val="center"/>
          </w:tcPr>
          <w:p>
            <w:pPr>
              <w:tabs>
                <w:tab w:val="left" w:pos="567"/>
                <w:tab w:val="left" w:pos="709"/>
              </w:tabs>
              <w:spacing w:line="300" w:lineRule="exact"/>
              <w:jc w:val="center"/>
              <w:textAlignment w:val="baseline"/>
              <w:outlineLvl w:val="0"/>
              <w:rPr>
                <w:rFonts w:ascii="仿宋" w:hAnsi="仿宋" w:eastAsia="仿宋" w:cs="仿宋"/>
                <w:bCs/>
                <w:color w:val="000000"/>
                <w:sz w:val="24"/>
              </w:rPr>
            </w:pPr>
            <w:r>
              <w:rPr>
                <w:rFonts w:hint="eastAsia" w:ascii="仿宋" w:hAnsi="仿宋" w:eastAsia="仿宋" w:cs="仿宋"/>
                <w:bCs/>
                <w:color w:val="000000"/>
                <w:sz w:val="24"/>
              </w:rPr>
              <w:t>备    注</w:t>
            </w:r>
          </w:p>
        </w:tc>
        <w:tc>
          <w:tcPr>
            <w:tcW w:w="4099" w:type="dxa"/>
            <w:gridSpan w:val="3"/>
            <w:vAlign w:val="center"/>
          </w:tcPr>
          <w:p>
            <w:pPr>
              <w:tabs>
                <w:tab w:val="left" w:pos="567"/>
                <w:tab w:val="left" w:pos="709"/>
              </w:tabs>
              <w:spacing w:line="300" w:lineRule="exact"/>
              <w:ind w:firstLine="480" w:firstLineChars="200"/>
              <w:textAlignment w:val="baseline"/>
              <w:outlineLvl w:val="0"/>
              <w:rPr>
                <w:rFonts w:hint="eastAsia" w:ascii="仿宋" w:hAnsi="仿宋" w:eastAsia="仿宋" w:cs="仿宋"/>
                <w:bCs/>
                <w:color w:val="000000"/>
                <w:sz w:val="24"/>
              </w:rPr>
            </w:pPr>
            <w:r>
              <w:rPr>
                <w:rFonts w:hint="eastAsia" w:ascii="仿宋" w:hAnsi="仿宋" w:eastAsia="仿宋" w:cs="仿宋"/>
                <w:bCs/>
                <w:color w:val="000000"/>
                <w:sz w:val="24"/>
              </w:rPr>
              <w:t>以上课程内容均可赴企业内部培训，依据企业需求，量身定制课程。</w:t>
            </w:r>
          </w:p>
        </w:tc>
        <w:tc>
          <w:tcPr>
            <w:tcW w:w="4060" w:type="dxa"/>
            <w:gridSpan w:val="2"/>
            <w:vAlign w:val="center"/>
          </w:tcPr>
          <w:p>
            <w:pPr>
              <w:tabs>
                <w:tab w:val="left" w:pos="567"/>
                <w:tab w:val="left" w:pos="709"/>
              </w:tabs>
              <w:spacing w:line="300" w:lineRule="exact"/>
              <w:ind w:firstLine="480" w:firstLineChars="200"/>
              <w:textAlignment w:val="baseline"/>
              <w:outlineLvl w:val="0"/>
              <w:rPr>
                <w:rFonts w:ascii="仿宋" w:hAnsi="仿宋" w:eastAsia="仿宋" w:cs="仿宋"/>
                <w:bCs/>
                <w:color w:val="000000"/>
                <w:sz w:val="24"/>
              </w:rPr>
            </w:pPr>
            <w:r>
              <w:rPr>
                <w:rFonts w:hint="eastAsia" w:ascii="仿宋" w:hAnsi="仿宋" w:eastAsia="仿宋" w:cs="仿宋"/>
                <w:bCs/>
                <w:color w:val="000000"/>
                <w:sz w:val="24"/>
              </w:rPr>
              <w:t>单位印章</w:t>
            </w:r>
          </w:p>
          <w:p>
            <w:pPr>
              <w:tabs>
                <w:tab w:val="left" w:pos="567"/>
                <w:tab w:val="left" w:pos="709"/>
              </w:tabs>
              <w:spacing w:line="300" w:lineRule="exact"/>
              <w:ind w:firstLine="240" w:firstLineChars="100"/>
              <w:textAlignment w:val="baseline"/>
              <w:outlineLvl w:val="0"/>
              <w:rPr>
                <w:rFonts w:ascii="仿宋" w:hAnsi="仿宋" w:eastAsia="仿宋" w:cs="仿宋"/>
                <w:bCs/>
                <w:color w:val="000000"/>
                <w:sz w:val="24"/>
              </w:rPr>
            </w:pPr>
            <w:r>
              <w:rPr>
                <w:rFonts w:hint="eastAsia" w:ascii="仿宋" w:hAnsi="仿宋" w:eastAsia="仿宋" w:cs="仿宋"/>
                <w:bCs/>
                <w:color w:val="000000"/>
                <w:sz w:val="24"/>
              </w:rPr>
              <w:t>2022年  月  日</w:t>
            </w:r>
          </w:p>
        </w:tc>
      </w:tr>
    </w:tbl>
    <w:p>
      <w:pPr>
        <w:spacing w:line="300" w:lineRule="exact"/>
        <w:rPr>
          <w:rFonts w:hint="eastAsia" w:ascii="仿宋" w:hAnsi="仿宋" w:eastAsia="仿宋" w:cs="仿宋"/>
          <w:color w:val="000000"/>
          <w:sz w:val="28"/>
          <w:szCs w:val="21"/>
        </w:rPr>
      </w:pPr>
    </w:p>
    <w:sectPr>
      <w:footerReference r:id="rId3" w:type="default"/>
      <w:pgSz w:w="11906" w:h="16838"/>
      <w:pgMar w:top="1440" w:right="1440" w:bottom="144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9</w:t>
    </w:r>
    <w:r>
      <w:rPr>
        <w:b/>
        <w:bCs/>
        <w:sz w:val="24"/>
        <w:szCs w:val="24"/>
      </w:rP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00C05EB3"/>
    <w:rsid w:val="000035B6"/>
    <w:rsid w:val="00012C10"/>
    <w:rsid w:val="00015192"/>
    <w:rsid w:val="0002627E"/>
    <w:rsid w:val="00033950"/>
    <w:rsid w:val="00033969"/>
    <w:rsid w:val="000448E7"/>
    <w:rsid w:val="0004771C"/>
    <w:rsid w:val="00060F2B"/>
    <w:rsid w:val="00060FBF"/>
    <w:rsid w:val="00061D5B"/>
    <w:rsid w:val="000679F1"/>
    <w:rsid w:val="00070356"/>
    <w:rsid w:val="00071A5A"/>
    <w:rsid w:val="00072020"/>
    <w:rsid w:val="0007302F"/>
    <w:rsid w:val="000736BC"/>
    <w:rsid w:val="000A7164"/>
    <w:rsid w:val="000B7CB7"/>
    <w:rsid w:val="000C1B0A"/>
    <w:rsid w:val="000C7C41"/>
    <w:rsid w:val="000D499F"/>
    <w:rsid w:val="000F7310"/>
    <w:rsid w:val="00110134"/>
    <w:rsid w:val="0014708B"/>
    <w:rsid w:val="001710EE"/>
    <w:rsid w:val="001945D2"/>
    <w:rsid w:val="001B5359"/>
    <w:rsid w:val="001E0F21"/>
    <w:rsid w:val="001F59ED"/>
    <w:rsid w:val="00236906"/>
    <w:rsid w:val="00251B48"/>
    <w:rsid w:val="00270037"/>
    <w:rsid w:val="0028202B"/>
    <w:rsid w:val="002821DC"/>
    <w:rsid w:val="0028519B"/>
    <w:rsid w:val="002A056F"/>
    <w:rsid w:val="002A402F"/>
    <w:rsid w:val="002A55B4"/>
    <w:rsid w:val="002D6A26"/>
    <w:rsid w:val="002D788F"/>
    <w:rsid w:val="0031204B"/>
    <w:rsid w:val="00357A67"/>
    <w:rsid w:val="00365A33"/>
    <w:rsid w:val="00375319"/>
    <w:rsid w:val="00380D56"/>
    <w:rsid w:val="00381E09"/>
    <w:rsid w:val="003927BD"/>
    <w:rsid w:val="003A65F2"/>
    <w:rsid w:val="0040210D"/>
    <w:rsid w:val="00402ED6"/>
    <w:rsid w:val="0040322D"/>
    <w:rsid w:val="00407B50"/>
    <w:rsid w:val="00413A9B"/>
    <w:rsid w:val="00415EEB"/>
    <w:rsid w:val="00417568"/>
    <w:rsid w:val="004738DA"/>
    <w:rsid w:val="004B4FA3"/>
    <w:rsid w:val="004C7BA9"/>
    <w:rsid w:val="004E5145"/>
    <w:rsid w:val="005005D3"/>
    <w:rsid w:val="00506FE5"/>
    <w:rsid w:val="00532A99"/>
    <w:rsid w:val="00545B67"/>
    <w:rsid w:val="00563835"/>
    <w:rsid w:val="0058316A"/>
    <w:rsid w:val="005A1951"/>
    <w:rsid w:val="005B498F"/>
    <w:rsid w:val="005B62BA"/>
    <w:rsid w:val="005C188F"/>
    <w:rsid w:val="005C3461"/>
    <w:rsid w:val="005D3C86"/>
    <w:rsid w:val="005E58AC"/>
    <w:rsid w:val="006148A2"/>
    <w:rsid w:val="006318A9"/>
    <w:rsid w:val="00636745"/>
    <w:rsid w:val="0064342C"/>
    <w:rsid w:val="0065257C"/>
    <w:rsid w:val="00655A99"/>
    <w:rsid w:val="006700F5"/>
    <w:rsid w:val="006C7902"/>
    <w:rsid w:val="006D42CF"/>
    <w:rsid w:val="006D5EF8"/>
    <w:rsid w:val="006F585D"/>
    <w:rsid w:val="00701CF5"/>
    <w:rsid w:val="00741222"/>
    <w:rsid w:val="007455A0"/>
    <w:rsid w:val="007462DC"/>
    <w:rsid w:val="00775806"/>
    <w:rsid w:val="00775953"/>
    <w:rsid w:val="00785E60"/>
    <w:rsid w:val="0079639B"/>
    <w:rsid w:val="007A266B"/>
    <w:rsid w:val="007B3367"/>
    <w:rsid w:val="007C6E08"/>
    <w:rsid w:val="007E6313"/>
    <w:rsid w:val="00801BA9"/>
    <w:rsid w:val="00862F56"/>
    <w:rsid w:val="00864A99"/>
    <w:rsid w:val="008719E7"/>
    <w:rsid w:val="00874576"/>
    <w:rsid w:val="0088705C"/>
    <w:rsid w:val="008948C0"/>
    <w:rsid w:val="00894B10"/>
    <w:rsid w:val="008A3CE8"/>
    <w:rsid w:val="008C09A3"/>
    <w:rsid w:val="008C5D8A"/>
    <w:rsid w:val="008D27E3"/>
    <w:rsid w:val="008D72F0"/>
    <w:rsid w:val="008F0C09"/>
    <w:rsid w:val="008F3EAA"/>
    <w:rsid w:val="0090266E"/>
    <w:rsid w:val="0094689A"/>
    <w:rsid w:val="009468B4"/>
    <w:rsid w:val="00976647"/>
    <w:rsid w:val="00996868"/>
    <w:rsid w:val="009B23FF"/>
    <w:rsid w:val="009B357B"/>
    <w:rsid w:val="009F55A2"/>
    <w:rsid w:val="009F5A11"/>
    <w:rsid w:val="00A007DC"/>
    <w:rsid w:val="00A34FC9"/>
    <w:rsid w:val="00A43577"/>
    <w:rsid w:val="00A46AD6"/>
    <w:rsid w:val="00A511A1"/>
    <w:rsid w:val="00A560F4"/>
    <w:rsid w:val="00A7025B"/>
    <w:rsid w:val="00A81312"/>
    <w:rsid w:val="00A83CE8"/>
    <w:rsid w:val="00A86E09"/>
    <w:rsid w:val="00AB5174"/>
    <w:rsid w:val="00AC5666"/>
    <w:rsid w:val="00AC7970"/>
    <w:rsid w:val="00AE062C"/>
    <w:rsid w:val="00B03722"/>
    <w:rsid w:val="00B04CD5"/>
    <w:rsid w:val="00B135BE"/>
    <w:rsid w:val="00B21108"/>
    <w:rsid w:val="00B60C79"/>
    <w:rsid w:val="00B720AA"/>
    <w:rsid w:val="00B74E0D"/>
    <w:rsid w:val="00B84A30"/>
    <w:rsid w:val="00B9562D"/>
    <w:rsid w:val="00BA30CD"/>
    <w:rsid w:val="00BB6C1B"/>
    <w:rsid w:val="00BC0C33"/>
    <w:rsid w:val="00BD0FA8"/>
    <w:rsid w:val="00BE3574"/>
    <w:rsid w:val="00C05EB3"/>
    <w:rsid w:val="00C10FD9"/>
    <w:rsid w:val="00C30399"/>
    <w:rsid w:val="00C31227"/>
    <w:rsid w:val="00C365BE"/>
    <w:rsid w:val="00C37A55"/>
    <w:rsid w:val="00C6069C"/>
    <w:rsid w:val="00CB0659"/>
    <w:rsid w:val="00CD0350"/>
    <w:rsid w:val="00CD11FC"/>
    <w:rsid w:val="00CE43FD"/>
    <w:rsid w:val="00CF40E0"/>
    <w:rsid w:val="00CF66F6"/>
    <w:rsid w:val="00D20889"/>
    <w:rsid w:val="00D27E20"/>
    <w:rsid w:val="00D347FF"/>
    <w:rsid w:val="00D43A49"/>
    <w:rsid w:val="00D47820"/>
    <w:rsid w:val="00D97711"/>
    <w:rsid w:val="00DA192B"/>
    <w:rsid w:val="00DA5A5F"/>
    <w:rsid w:val="00DC1BE6"/>
    <w:rsid w:val="00DD5C14"/>
    <w:rsid w:val="00E007AD"/>
    <w:rsid w:val="00E05890"/>
    <w:rsid w:val="00E170B7"/>
    <w:rsid w:val="00E35655"/>
    <w:rsid w:val="00E37BF7"/>
    <w:rsid w:val="00E55B1E"/>
    <w:rsid w:val="00E731A4"/>
    <w:rsid w:val="00E90BDD"/>
    <w:rsid w:val="00E928CE"/>
    <w:rsid w:val="00E94B7A"/>
    <w:rsid w:val="00EB3160"/>
    <w:rsid w:val="00EB36E2"/>
    <w:rsid w:val="00ED75EA"/>
    <w:rsid w:val="00EE5A9B"/>
    <w:rsid w:val="00EF6D98"/>
    <w:rsid w:val="00F10494"/>
    <w:rsid w:val="00F11629"/>
    <w:rsid w:val="00F34CEE"/>
    <w:rsid w:val="00F41531"/>
    <w:rsid w:val="00F44CB9"/>
    <w:rsid w:val="00F54102"/>
    <w:rsid w:val="00F745A3"/>
    <w:rsid w:val="00F82DAD"/>
    <w:rsid w:val="00F8667F"/>
    <w:rsid w:val="00F95E77"/>
    <w:rsid w:val="00FA01F2"/>
    <w:rsid w:val="00FC5546"/>
    <w:rsid w:val="00FE439F"/>
    <w:rsid w:val="014660F7"/>
    <w:rsid w:val="02235B22"/>
    <w:rsid w:val="033F6421"/>
    <w:rsid w:val="03A8047E"/>
    <w:rsid w:val="04007668"/>
    <w:rsid w:val="0482696D"/>
    <w:rsid w:val="04A16AE8"/>
    <w:rsid w:val="04D156C0"/>
    <w:rsid w:val="07376780"/>
    <w:rsid w:val="07A62F65"/>
    <w:rsid w:val="087C02FE"/>
    <w:rsid w:val="08C77405"/>
    <w:rsid w:val="08DD6040"/>
    <w:rsid w:val="08DE45E6"/>
    <w:rsid w:val="094D11AF"/>
    <w:rsid w:val="0A4F6DDB"/>
    <w:rsid w:val="0A6D380D"/>
    <w:rsid w:val="0B8B471A"/>
    <w:rsid w:val="0D163B6C"/>
    <w:rsid w:val="0DE24C15"/>
    <w:rsid w:val="0E412690"/>
    <w:rsid w:val="0E842388"/>
    <w:rsid w:val="0F281C2C"/>
    <w:rsid w:val="104365D5"/>
    <w:rsid w:val="10604081"/>
    <w:rsid w:val="106E5CFA"/>
    <w:rsid w:val="111B6143"/>
    <w:rsid w:val="12C549B5"/>
    <w:rsid w:val="13A97E33"/>
    <w:rsid w:val="14267F54"/>
    <w:rsid w:val="142726A1"/>
    <w:rsid w:val="14C56228"/>
    <w:rsid w:val="158D0180"/>
    <w:rsid w:val="159C46BE"/>
    <w:rsid w:val="167F2368"/>
    <w:rsid w:val="172B72C5"/>
    <w:rsid w:val="18324015"/>
    <w:rsid w:val="19BF637F"/>
    <w:rsid w:val="19E55B95"/>
    <w:rsid w:val="1B2E4CFC"/>
    <w:rsid w:val="1BB47EC1"/>
    <w:rsid w:val="1BD96DAE"/>
    <w:rsid w:val="1C200EAE"/>
    <w:rsid w:val="1CA4536B"/>
    <w:rsid w:val="1CFC2AF5"/>
    <w:rsid w:val="1D263268"/>
    <w:rsid w:val="1D481109"/>
    <w:rsid w:val="1D540FB8"/>
    <w:rsid w:val="1E750891"/>
    <w:rsid w:val="1EBD2C70"/>
    <w:rsid w:val="1FDC1836"/>
    <w:rsid w:val="1FF64400"/>
    <w:rsid w:val="204A64FA"/>
    <w:rsid w:val="207F36EE"/>
    <w:rsid w:val="20D0494C"/>
    <w:rsid w:val="213562BC"/>
    <w:rsid w:val="218A7E50"/>
    <w:rsid w:val="22DD6869"/>
    <w:rsid w:val="23D34EB3"/>
    <w:rsid w:val="256B12E3"/>
    <w:rsid w:val="26FA4A89"/>
    <w:rsid w:val="2722776F"/>
    <w:rsid w:val="275C16F9"/>
    <w:rsid w:val="283D29B6"/>
    <w:rsid w:val="28991616"/>
    <w:rsid w:val="28D07F4A"/>
    <w:rsid w:val="29443B51"/>
    <w:rsid w:val="29CE6689"/>
    <w:rsid w:val="2B303350"/>
    <w:rsid w:val="2C0B3072"/>
    <w:rsid w:val="2C8210C4"/>
    <w:rsid w:val="2D3D572C"/>
    <w:rsid w:val="2D624171"/>
    <w:rsid w:val="2E39057F"/>
    <w:rsid w:val="2EE35D01"/>
    <w:rsid w:val="2EEE175C"/>
    <w:rsid w:val="2EF829D9"/>
    <w:rsid w:val="2F0E5507"/>
    <w:rsid w:val="2F2A04F3"/>
    <w:rsid w:val="2FFB73B3"/>
    <w:rsid w:val="30AC3A6A"/>
    <w:rsid w:val="315A11CA"/>
    <w:rsid w:val="318D0BC0"/>
    <w:rsid w:val="32736883"/>
    <w:rsid w:val="3471008E"/>
    <w:rsid w:val="35A6695C"/>
    <w:rsid w:val="36215636"/>
    <w:rsid w:val="362C2623"/>
    <w:rsid w:val="372907BF"/>
    <w:rsid w:val="38614CBE"/>
    <w:rsid w:val="38970013"/>
    <w:rsid w:val="3AEA7DAB"/>
    <w:rsid w:val="3B4D1BA9"/>
    <w:rsid w:val="3BDB3262"/>
    <w:rsid w:val="3BEF6B1F"/>
    <w:rsid w:val="3CF4034D"/>
    <w:rsid w:val="3E5F540E"/>
    <w:rsid w:val="3E682515"/>
    <w:rsid w:val="3EF91720"/>
    <w:rsid w:val="3F3D5750"/>
    <w:rsid w:val="3F7136FE"/>
    <w:rsid w:val="40D366AE"/>
    <w:rsid w:val="40F40889"/>
    <w:rsid w:val="419B4491"/>
    <w:rsid w:val="41EC0017"/>
    <w:rsid w:val="43F126D4"/>
    <w:rsid w:val="441A182D"/>
    <w:rsid w:val="443C3C76"/>
    <w:rsid w:val="451B2D2C"/>
    <w:rsid w:val="45813EBC"/>
    <w:rsid w:val="45881EF3"/>
    <w:rsid w:val="46096B70"/>
    <w:rsid w:val="461D2344"/>
    <w:rsid w:val="46221E1C"/>
    <w:rsid w:val="466F2A1D"/>
    <w:rsid w:val="46C709CB"/>
    <w:rsid w:val="47810C06"/>
    <w:rsid w:val="47891B71"/>
    <w:rsid w:val="47893BFA"/>
    <w:rsid w:val="49BC3C2D"/>
    <w:rsid w:val="4A0B008A"/>
    <w:rsid w:val="4B4A7E0C"/>
    <w:rsid w:val="4B8E58E1"/>
    <w:rsid w:val="4CB06289"/>
    <w:rsid w:val="4DEF07B4"/>
    <w:rsid w:val="4E553C53"/>
    <w:rsid w:val="4F2C2733"/>
    <w:rsid w:val="5071149E"/>
    <w:rsid w:val="50771950"/>
    <w:rsid w:val="50C00D69"/>
    <w:rsid w:val="512E279E"/>
    <w:rsid w:val="51B405C2"/>
    <w:rsid w:val="52232512"/>
    <w:rsid w:val="52343325"/>
    <w:rsid w:val="5317096E"/>
    <w:rsid w:val="5334089D"/>
    <w:rsid w:val="5366215E"/>
    <w:rsid w:val="53736A83"/>
    <w:rsid w:val="53B5246F"/>
    <w:rsid w:val="544D22AC"/>
    <w:rsid w:val="5771430C"/>
    <w:rsid w:val="57E55D0B"/>
    <w:rsid w:val="581415F7"/>
    <w:rsid w:val="58695AED"/>
    <w:rsid w:val="59AD0A65"/>
    <w:rsid w:val="5A38582C"/>
    <w:rsid w:val="5AB26652"/>
    <w:rsid w:val="5AC822CA"/>
    <w:rsid w:val="5B4C1EFA"/>
    <w:rsid w:val="5CA40764"/>
    <w:rsid w:val="5CC7064B"/>
    <w:rsid w:val="5E0F60B1"/>
    <w:rsid w:val="5E394EDC"/>
    <w:rsid w:val="5ECF25AF"/>
    <w:rsid w:val="61825870"/>
    <w:rsid w:val="6339298C"/>
    <w:rsid w:val="63921BA1"/>
    <w:rsid w:val="6400407C"/>
    <w:rsid w:val="64186A14"/>
    <w:rsid w:val="64EE691B"/>
    <w:rsid w:val="660140FE"/>
    <w:rsid w:val="663A2546"/>
    <w:rsid w:val="663B5B1B"/>
    <w:rsid w:val="66AC2071"/>
    <w:rsid w:val="6A7515E5"/>
    <w:rsid w:val="6ACD7940"/>
    <w:rsid w:val="6ADB724B"/>
    <w:rsid w:val="6B161AF0"/>
    <w:rsid w:val="6B192F3D"/>
    <w:rsid w:val="6B474299"/>
    <w:rsid w:val="6B6D513F"/>
    <w:rsid w:val="6B8C548B"/>
    <w:rsid w:val="6D0E0EC3"/>
    <w:rsid w:val="6D6567D1"/>
    <w:rsid w:val="6E5341F1"/>
    <w:rsid w:val="6EFC32F5"/>
    <w:rsid w:val="71EF6BF6"/>
    <w:rsid w:val="72324E28"/>
    <w:rsid w:val="72A53C9D"/>
    <w:rsid w:val="72D7507C"/>
    <w:rsid w:val="72EB459F"/>
    <w:rsid w:val="735C13CB"/>
    <w:rsid w:val="73947117"/>
    <w:rsid w:val="73DB1DB1"/>
    <w:rsid w:val="748B7421"/>
    <w:rsid w:val="76130E3C"/>
    <w:rsid w:val="765927F0"/>
    <w:rsid w:val="77147E3D"/>
    <w:rsid w:val="788C0F55"/>
    <w:rsid w:val="78BB3CD3"/>
    <w:rsid w:val="7A857962"/>
    <w:rsid w:val="7AFC5306"/>
    <w:rsid w:val="7BA029E2"/>
    <w:rsid w:val="7C2B03A7"/>
    <w:rsid w:val="7DDB35C0"/>
    <w:rsid w:val="7E262746"/>
    <w:rsid w:val="7E5934BC"/>
    <w:rsid w:val="7F377085"/>
    <w:rsid w:val="7F381DD3"/>
    <w:rsid w:val="7F642662"/>
    <w:rsid w:val="7F6470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jc w:val="both"/>
    </w:pPr>
    <w:rPr>
      <w:rFonts w:ascii="宋体" w:hAnsi="宋体" w:eastAsia="宋体" w:cs="Times New Roman"/>
      <w:shd w:val="clear" w:color="000000" w:fill="auto"/>
      <w:lang w:val="en-US" w:eastAsia="zh-CN" w:bidi="ar-SA"/>
    </w:rPr>
  </w:style>
  <w:style w:type="character" w:default="1" w:styleId="10">
    <w:name w:val="Default Paragraph Font"/>
    <w:unhideWhenUsed/>
    <w:qFormat/>
    <w:uiPriority w:val="1"/>
  </w:style>
  <w:style w:type="table" w:default="1" w:styleId="9">
    <w:name w:val="Normal Table"/>
    <w:unhideWhenUsed/>
    <w:qFormat/>
    <w:uiPriority w:val="99"/>
    <w:tblPr>
      <w:tblCellMar>
        <w:top w:w="0" w:type="dxa"/>
        <w:left w:w="108" w:type="dxa"/>
        <w:bottom w:w="0" w:type="dxa"/>
        <w:right w:w="108" w:type="dxa"/>
      </w:tblCellMar>
    </w:tblPr>
  </w:style>
  <w:style w:type="paragraph" w:styleId="2">
    <w:name w:val="Body Text First Indent 2"/>
    <w:basedOn w:val="3"/>
    <w:link w:val="14"/>
    <w:qFormat/>
    <w:uiPriority w:val="99"/>
    <w:pPr>
      <w:widowControl w:val="0"/>
      <w:tabs>
        <w:tab w:val="left" w:pos="-1440"/>
      </w:tabs>
      <w:spacing w:after="0" w:line="360" w:lineRule="auto"/>
      <w:ind w:left="176" w:leftChars="0" w:firstLine="420" w:firstLineChars="200"/>
    </w:pPr>
    <w:rPr>
      <w:rFonts w:ascii="仿宋" w:eastAsia="仿宋"/>
      <w:kern w:val="2"/>
      <w:sz w:val="24"/>
      <w:szCs w:val="24"/>
      <w:shd w:val="clear" w:color="auto" w:fill="auto"/>
    </w:rPr>
  </w:style>
  <w:style w:type="paragraph" w:styleId="3">
    <w:name w:val="Body Text Indent"/>
    <w:basedOn w:val="1"/>
    <w:link w:val="13"/>
    <w:unhideWhenUsed/>
    <w:qFormat/>
    <w:uiPriority w:val="99"/>
    <w:pPr>
      <w:spacing w:after="120"/>
      <w:ind w:left="420" w:leftChars="200"/>
    </w:pPr>
  </w:style>
  <w:style w:type="paragraph" w:styleId="4">
    <w:name w:val="Body Text"/>
    <w:basedOn w:val="1"/>
    <w:link w:val="15"/>
    <w:unhideWhenUsed/>
    <w:qFormat/>
    <w:uiPriority w:val="99"/>
    <w:pPr>
      <w:spacing w:after="120"/>
    </w:pPr>
  </w:style>
  <w:style w:type="paragraph" w:styleId="5">
    <w:name w:val="Date"/>
    <w:basedOn w:val="1"/>
    <w:next w:val="1"/>
    <w:link w:val="16"/>
    <w:unhideWhenUsed/>
    <w:qFormat/>
    <w:uiPriority w:val="99"/>
    <w:pPr>
      <w:ind w:left="100" w:leftChars="2500"/>
    </w:pPr>
  </w:style>
  <w:style w:type="paragraph" w:styleId="6">
    <w:name w:val="footer"/>
    <w:basedOn w:val="1"/>
    <w:link w:val="17"/>
    <w:unhideWhenUsed/>
    <w:qFormat/>
    <w:uiPriority w:val="99"/>
    <w:pPr>
      <w:tabs>
        <w:tab w:val="center" w:pos="4153"/>
        <w:tab w:val="right" w:pos="8306"/>
      </w:tabs>
      <w:snapToGrid w:val="0"/>
      <w:jc w:val="left"/>
    </w:pPr>
    <w:rPr>
      <w:rFonts w:ascii="Times New Roman" w:hAnsi="Times New Roman"/>
      <w:sz w:val="18"/>
      <w:szCs w:val="18"/>
    </w:rPr>
  </w:style>
  <w:style w:type="paragraph" w:styleId="7">
    <w:name w:val="header"/>
    <w:basedOn w:val="1"/>
    <w:link w:val="18"/>
    <w:unhideWhenUsed/>
    <w:qFormat/>
    <w:uiPriority w:val="99"/>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8">
    <w:name w:val="Normal (Web)"/>
    <w:basedOn w:val="1"/>
    <w:qFormat/>
    <w:uiPriority w:val="99"/>
    <w:pPr>
      <w:widowControl w:val="0"/>
    </w:pPr>
    <w:rPr>
      <w:rFonts w:ascii="Calibri" w:hAnsi="Calibri"/>
      <w:kern w:val="2"/>
      <w:sz w:val="24"/>
      <w:szCs w:val="24"/>
      <w:shd w:val="clear" w:color="auto" w:fill="auto"/>
    </w:rPr>
  </w:style>
  <w:style w:type="character" w:styleId="11">
    <w:name w:val="Strong"/>
    <w:basedOn w:val="10"/>
    <w:qFormat/>
    <w:uiPriority w:val="99"/>
    <w:rPr>
      <w:b/>
      <w:bCs/>
    </w:rPr>
  </w:style>
  <w:style w:type="character" w:styleId="12">
    <w:name w:val="Hyperlink"/>
    <w:unhideWhenUsed/>
    <w:qFormat/>
    <w:uiPriority w:val="0"/>
    <w:rPr>
      <w:color w:val="0000FF"/>
      <w:u w:val="single"/>
    </w:rPr>
  </w:style>
  <w:style w:type="character" w:customStyle="1" w:styleId="13">
    <w:name w:val="正文文本缩进 Char"/>
    <w:link w:val="3"/>
    <w:semiHidden/>
    <w:qFormat/>
    <w:uiPriority w:val="99"/>
    <w:rPr>
      <w:rFonts w:ascii="宋体" w:hAnsi="宋体"/>
    </w:rPr>
  </w:style>
  <w:style w:type="character" w:customStyle="1" w:styleId="14">
    <w:name w:val="正文首行缩进 2 Char"/>
    <w:link w:val="2"/>
    <w:qFormat/>
    <w:uiPriority w:val="99"/>
    <w:rPr>
      <w:rFonts w:ascii="仿宋" w:hAnsi="宋体" w:eastAsia="仿宋"/>
      <w:kern w:val="2"/>
      <w:sz w:val="24"/>
      <w:szCs w:val="24"/>
    </w:rPr>
  </w:style>
  <w:style w:type="character" w:customStyle="1" w:styleId="15">
    <w:name w:val="正文文本 Char"/>
    <w:link w:val="4"/>
    <w:qFormat/>
    <w:uiPriority w:val="99"/>
    <w:rPr>
      <w:rFonts w:ascii="宋体" w:hAnsi="宋体"/>
    </w:rPr>
  </w:style>
  <w:style w:type="character" w:customStyle="1" w:styleId="16">
    <w:name w:val="日期 Char"/>
    <w:link w:val="5"/>
    <w:semiHidden/>
    <w:qFormat/>
    <w:uiPriority w:val="99"/>
    <w:rPr>
      <w:rFonts w:ascii="宋体" w:hAnsi="宋体"/>
    </w:rPr>
  </w:style>
  <w:style w:type="character" w:customStyle="1" w:styleId="17">
    <w:name w:val="页脚 Char"/>
    <w:link w:val="6"/>
    <w:qFormat/>
    <w:uiPriority w:val="99"/>
    <w:rPr>
      <w:sz w:val="18"/>
      <w:szCs w:val="18"/>
    </w:rPr>
  </w:style>
  <w:style w:type="character" w:customStyle="1" w:styleId="18">
    <w:name w:val="页眉 Char"/>
    <w:link w:val="7"/>
    <w:qFormat/>
    <w:uiPriority w:val="99"/>
    <w:rPr>
      <w:sz w:val="18"/>
      <w:szCs w:val="18"/>
    </w:rPr>
  </w:style>
  <w:style w:type="character" w:customStyle="1" w:styleId="19">
    <w:name w:val="页脚 字符"/>
    <w:qFormat/>
    <w:uiPriority w:val="99"/>
  </w:style>
  <w:style w:type="paragraph" w:customStyle="1" w:styleId="20">
    <w:name w:val="qowt-stl-a5"/>
    <w:basedOn w:val="1"/>
    <w:qFormat/>
    <w:uiPriority w:val="0"/>
    <w:pPr>
      <w:spacing w:before="100" w:beforeAutospacing="1" w:after="100" w:afterAutospacing="1"/>
      <w:jc w:val="left"/>
    </w:pPr>
    <w:rPr>
      <w:rFonts w:cs="宋体"/>
      <w:sz w:val="24"/>
      <w:szCs w:val="24"/>
      <w:shd w:val="clear" w:color="auto" w:fill="auto"/>
    </w:rPr>
  </w:style>
  <w:style w:type="character" w:customStyle="1" w:styleId="21">
    <w:name w:val="qowt-font4-gbk"/>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5065</Words>
  <Characters>5362</Characters>
  <Lines>41</Lines>
  <Paragraphs>11</Paragraphs>
  <TotalTime>0</TotalTime>
  <ScaleCrop>false</ScaleCrop>
  <LinksUpToDate>false</LinksUpToDate>
  <CharactersWithSpaces>5531</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2022-06-20T08:48:00Z</dcterms:created>
  <dc:creator>samsung</dc:creator>
  <cp:lastModifiedBy>冰冰⊙▽⊙＊</cp:lastModifiedBy>
  <cp:lastPrinted>2022-01-12T02:52:00Z</cp:lastPrinted>
  <dcterms:modified xsi:type="dcterms:W3CDTF">2022-06-27T05:45:22Z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020BEFA0975E4828AEBBAF5361040731</vt:lpwstr>
  </property>
</Properties>
</file>