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hAnsi="宋体" w:eastAsia="楷体_GB2312"/>
          <w:b/>
          <w:bCs/>
          <w:color w:val="000000" w:themeColor="text1"/>
          <w:szCs w:val="36"/>
          <w14:textFill>
            <w14:solidFill>
              <w14:schemeClr w14:val="tx1"/>
            </w14:solidFill>
          </w14:textFill>
        </w:rPr>
      </w:pPr>
    </w:p>
    <w:p>
      <w:pPr>
        <w:spacing w:line="360" w:lineRule="auto"/>
        <w:ind w:firstLine="160" w:firstLineChars="50"/>
        <w:jc w:val="center"/>
        <w:rPr>
          <w:rFonts w:ascii="微软雅黑" w:hAnsi="微软雅黑" w:eastAsia="微软雅黑"/>
          <w:b/>
          <w:bCs/>
          <w:color w:val="FF0000"/>
          <w:sz w:val="22"/>
          <w:szCs w:val="22"/>
        </w:rPr>
      </w:pPr>
      <w:r>
        <w:rPr>
          <w:rFonts w:hint="eastAsia" w:ascii="微软雅黑" w:hAnsi="微软雅黑" w:eastAsia="微软雅黑"/>
          <w:b/>
          <w:bCs/>
          <w:color w:val="FF0000"/>
          <w:sz w:val="32"/>
          <w:szCs w:val="32"/>
        </w:rPr>
        <w:t>进出口商品归类技巧及争议解决</w:t>
      </w:r>
    </w:p>
    <w:p>
      <w:pPr>
        <w:adjustRightInd w:val="0"/>
        <w:snapToGrid w:val="0"/>
        <w:spacing w:line="276" w:lineRule="auto"/>
        <w:rPr>
          <w:rFonts w:hint="eastAsia" w:ascii="微软雅黑" w:hAnsi="微软雅黑" w:eastAsia="微软雅黑"/>
          <w:szCs w:val="21"/>
          <w:lang w:val="en-US" w:eastAsia="zh-CN"/>
        </w:rPr>
      </w:pPr>
      <w:r>
        <w:rPr>
          <w:rFonts w:hint="eastAsia" w:ascii="微软雅黑" w:hAnsi="微软雅黑" w:eastAsia="微软雅黑"/>
          <w:b/>
          <w:color w:val="000000" w:themeColor="text1"/>
          <w14:textFill>
            <w14:solidFill>
              <w14:schemeClr w14:val="tx1"/>
            </w14:solidFill>
          </w14:textFill>
        </w:rPr>
        <w:t>【报名热线】</w:t>
      </w:r>
      <w:r>
        <w:rPr>
          <w:rFonts w:hint="eastAsia" w:ascii="微软雅黑" w:hAnsi="微软雅黑" w:eastAsia="微软雅黑"/>
          <w:b/>
          <w:color w:val="000000" w:themeColor="text1"/>
          <w:lang w:val="en-US" w:eastAsia="zh-CN"/>
          <w14:textFill>
            <w14:solidFill>
              <w14:schemeClr w14:val="tx1"/>
            </w14:solidFill>
          </w14:textFill>
        </w:rPr>
        <w:t>400-086-8596</w:t>
      </w:r>
    </w:p>
    <w:p>
      <w:pPr>
        <w:adjustRightInd w:val="0"/>
        <w:snapToGrid w:val="0"/>
        <w:spacing w:line="276" w:lineRule="auto"/>
        <w:rPr>
          <w:rFonts w:ascii="微软雅黑" w:hAnsi="微软雅黑" w:eastAsia="微软雅黑"/>
          <w:szCs w:val="21"/>
        </w:rPr>
      </w:pPr>
      <w:bookmarkStart w:id="0" w:name="_GoBack"/>
      <w:bookmarkEnd w:id="0"/>
      <w:r>
        <w:rPr>
          <w:rFonts w:hint="eastAsia" w:ascii="微软雅黑" w:hAnsi="微软雅黑" w:eastAsia="微软雅黑"/>
          <w:b/>
        </w:rPr>
        <w:t>【培训对象】</w:t>
      </w:r>
      <w:r>
        <w:rPr>
          <w:rFonts w:hint="eastAsia" w:ascii="微软雅黑" w:hAnsi="微软雅黑" w:eastAsia="微软雅黑"/>
        </w:rPr>
        <w:t>公司高管、进出口部门经理、采购经理、物流经理、财务经理、关务主管及相关人员。</w:t>
      </w:r>
    </w:p>
    <w:p>
      <w:pPr>
        <w:adjustRightInd w:val="0"/>
        <w:snapToGrid w:val="0"/>
        <w:spacing w:line="276" w:lineRule="auto"/>
        <w:rPr>
          <w:rFonts w:ascii="微软雅黑" w:hAnsi="微软雅黑" w:eastAsia="微软雅黑"/>
          <w:szCs w:val="21"/>
        </w:rPr>
      </w:pPr>
      <w:r>
        <w:rPr>
          <w:rFonts w:hint="eastAsia" w:ascii="微软雅黑" w:hAnsi="微软雅黑" w:eastAsia="微软雅黑"/>
          <w:b/>
          <w:szCs w:val="21"/>
        </w:rPr>
        <w:t>【课程费用】</w:t>
      </w:r>
      <w:r>
        <w:rPr>
          <w:rFonts w:hint="eastAsia" w:ascii="微软雅黑" w:hAnsi="微软雅黑" w:eastAsia="微软雅黑"/>
          <w:szCs w:val="21"/>
        </w:rPr>
        <w:t>RM</w:t>
      </w:r>
      <w:r>
        <w:rPr>
          <w:rFonts w:ascii="微软雅黑" w:hAnsi="微软雅黑" w:eastAsia="微软雅黑"/>
          <w:szCs w:val="21"/>
        </w:rPr>
        <w:t>B</w:t>
      </w:r>
      <w:r>
        <w:rPr>
          <w:rFonts w:ascii="微软雅黑" w:hAnsi="微软雅黑" w:eastAsia="微软雅黑"/>
          <w:b/>
          <w:szCs w:val="21"/>
        </w:rPr>
        <w:t>4200</w:t>
      </w:r>
      <w:r>
        <w:rPr>
          <w:rFonts w:hint="eastAsia" w:ascii="微软雅黑" w:hAnsi="微软雅黑" w:eastAsia="微软雅黑"/>
          <w:b/>
          <w:szCs w:val="21"/>
        </w:rPr>
        <w:t>元/人</w:t>
      </w:r>
      <w:r>
        <w:rPr>
          <w:rFonts w:hint="eastAsia" w:ascii="微软雅黑" w:hAnsi="微软雅黑" w:eastAsia="微软雅黑"/>
          <w:szCs w:val="21"/>
        </w:rPr>
        <w:t>（包含：培训费、教材、午餐、茶点、发票）</w:t>
      </w:r>
    </w:p>
    <w:p>
      <w:pPr>
        <w:ind w:firstLine="210" w:firstLineChars="100"/>
        <w:rPr>
          <w:color w:val="FF0000"/>
          <w:sz w:val="28"/>
        </w:rPr>
      </w:pPr>
      <w:r>
        <w:rPr>
          <w:rFonts w:hint="eastAsia"/>
          <w:color w:val="FF0000"/>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6" o:spt="32" type="#_x0000_t32" style="position:absolute;left:0pt;margin-left:1.7pt;margin-top:27.15pt;height:0pt;width:486.75pt;z-index:251657216;mso-width-relative:page;mso-height-relative:page;" filled="f" stroked="t" coordsize="21600,21600" o:gfxdata="UEsDBAoAAAAAAIdO4kAAAAAAAAAAAAAAAAAEAAAAZHJzL1BLAwQUAAAACACHTuJAvdj9wtUAAAAH&#10;AQAADwAAAGRycy9kb3ducmV2LnhtbE2OS0+DQBSF9yb+h8k1cWeH2loKcunCxh1q+kjcDswtoMwd&#10;wkyh/nvHuNDleeScL9tcTCdGGlxrGWE+i0AQV1a3XCMcD893axDOK9aqs0wIX+Rgk19fZSrVduId&#10;jXtfizDCLlUIjfd9KqWrGjLKzWxPHLKTHYzyQQ611IOawrjp5H0UraRRLYeHRvX01FD1uT8bhOn9&#10;Yzcm5WsRH95eiu2xLYttHyPe3syjRxCeLv6vDD/4AR3ywFTaM2snOoTFMhQRHpYLECFO4lUCovw1&#10;ZJ7J//z5N1BLAwQUAAAACACHTuJAaUoyuw8CAADZAwAADgAAAGRycy9lMm9Eb2MueG1srVPNbhMx&#10;EL4j8Q6W72R306akq2wqNaFcCkRqeYCJ1/sjvLblcbPJS/ACSJwoJ+DUO08D5TEYOz9QuCEulj2z&#10;880333w7OVt3iq2kw9bogmeDlDOphSlbXRf89fXFkzFn6EGXoIyWBd9I5GfTx48mvc3l0DRGldIx&#10;AtGY97bgjfc2TxIUjewAB8ZKTcnKuA48PV2dlA56Qu9UMkzTk6Q3rrTOCIlI0fk2yacRv6qk8K+q&#10;CqVnquDEzcfTxXMZzmQ6gbx2YJtW7GjAP7DooNXU9AA1Bw/sxrV/QXWtcAZN5QfCdImpqlbIOANN&#10;k6V/THPVgJVxFhIH7UEm/H+w4uVq4VhbFvyIMw0drej+3d33t7f3Xz5/+3D34+v7cP/0kR0FqXqL&#10;OVXM9MKFYcVaX9lLI94g02bWgK5lpHy9sYSThYrkQUl4oKWGy/6FKekbuPEm6rauXBcgSRG2juvZ&#10;HNYj154JCp5k4+zpcMSZ2OcSyPeF1qF/Lk3HwqXg6B20deNnRmsygXFZbAOrS/SBFuT7gtBVm4tW&#10;qegFpVlf8NNR7APkyEqBp5adJY1Q15yBqsnqwruIiEa1ZagOOOjq5Uw5tgKy2/mz4/Pj8fajBkq5&#10;jZ6O0nRnOwRPKmzDWbqPE7UdTKT5AD9wngM225qYiiJDrvRO6yDvdlFLU24Wbr8D8k/E23k9GPT3&#10;d6z+9Ud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2P3C1QAAAAcBAAAPAAAAAAAAAAEAIAAA&#10;ACIAAABkcnMvZG93bnJldi54bWxQSwECFAAUAAAACACHTuJAaUoyuw8CAADZAwAADgAAAAAAAAAB&#10;ACAAAAAkAQAAZHJzL2Uyb0RvYy54bWxQSwUGAAAAAAYABgBZAQAApQUAAAAA&#10;">
                <v:fill on="f" focussize="0,0"/>
                <v:stroke color="#BE4B48 [3205]" joinstyle="round"/>
                <v:imagedata o:title=""/>
                <o:lock v:ext="edit" aspectratio="f"/>
              </v:shape>
            </w:pict>
          </mc:Fallback>
        </mc:AlternateContent>
      </w:r>
      <w:r>
        <w:rPr>
          <w:rFonts w:hint="eastAsia" w:ascii="微软雅黑" w:hAnsi="微软雅黑" w:eastAsia="微软雅黑"/>
          <w:color w:val="FF0000"/>
          <w:sz w:val="20"/>
          <w:szCs w:val="20"/>
        </w:rPr>
        <w:t>注：此课程我们可以提供企业内部培训与咨询服务，欢迎来电咨询。</w:t>
      </w:r>
    </w:p>
    <w:p>
      <w:pPr>
        <w:rPr>
          <w:rFonts w:hAnsi="宋体" w:cs="Calibri"/>
          <w:b/>
          <w:color w:val="990000"/>
          <w:sz w:val="20"/>
        </w:rPr>
        <w:sectPr>
          <w:headerReference r:id="rId3" w:type="default"/>
          <w:footerReference r:id="rId4" w:type="default"/>
          <w:type w:val="continuous"/>
          <w:pgSz w:w="11906" w:h="16838"/>
          <w:pgMar w:top="1134" w:right="1134" w:bottom="851" w:left="993" w:header="851" w:footer="227" w:gutter="0"/>
          <w:pgNumType w:fmt="numberInDash"/>
          <w:cols w:space="720" w:num="1"/>
          <w:docGrid w:type="linesAndChars" w:linePitch="312" w:charSpace="0"/>
        </w:sectPr>
      </w:pPr>
    </w:p>
    <w:p>
      <w:pPr>
        <w:spacing w:line="360" w:lineRule="auto"/>
        <w:rPr>
          <w:rFonts w:ascii="微软雅黑" w:hAnsi="微软雅黑" w:eastAsia="微软雅黑"/>
          <w:b/>
          <w:color w:val="FF0000"/>
          <w:sz w:val="24"/>
        </w:rPr>
      </w:pPr>
      <w:r>
        <w:rPr>
          <w:rFonts w:hint="eastAsia" w:ascii="微软雅黑" w:hAnsi="微软雅黑" w:eastAsia="微软雅黑"/>
          <w:b/>
          <w:color w:val="FF0000"/>
          <w:sz w:val="24"/>
        </w:rPr>
        <w:t>课程特色：</w:t>
      </w:r>
    </w:p>
    <w:p>
      <w:pPr>
        <w:widowControl/>
        <w:adjustRightInd w:val="0"/>
        <w:snapToGrid w:val="0"/>
        <w:rPr>
          <w:rFonts w:ascii="微软雅黑" w:hAnsi="微软雅黑" w:eastAsia="微软雅黑"/>
          <w:color w:val="000000" w:themeColor="text1"/>
          <w:szCs w:val="21"/>
          <w14:textFill>
            <w14:solidFill>
              <w14:schemeClr w14:val="tx1"/>
            </w14:solidFill>
          </w14:textFill>
        </w:rPr>
      </w:pPr>
      <w:r>
        <w:rPr>
          <w:rFonts w:hint="eastAsia" w:ascii="宋体" w:hAnsi="宋体" w:cs="宋体"/>
          <w:kern w:val="0"/>
          <w:sz w:val="20"/>
          <w:szCs w:val="20"/>
        </w:rPr>
        <w:t xml:space="preserve">  </w:t>
      </w:r>
      <w:r>
        <w:rPr>
          <w:rFonts w:ascii="宋体" w:hAnsi="宋体" w:cs="宋体"/>
          <w:kern w:val="0"/>
          <w:sz w:val="20"/>
          <w:szCs w:val="20"/>
        </w:rPr>
        <w:t xml:space="preserve"> </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知识的系统性：把握商品归类工作重难点，全程案例教学，充分理解和掌握海关商品归类正确操作；</w:t>
      </w:r>
    </w:p>
    <w:p>
      <w:pPr>
        <w:widowControl/>
        <w:adjustRightInd w:val="0"/>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内容的实用性：洞悉商品归类海关管理和技术操作技巧，对企业的关务工作提供切实的指导和帮助；</w:t>
      </w:r>
    </w:p>
    <w:p>
      <w:pPr>
        <w:widowControl/>
        <w:adjustRightInd w:val="0"/>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讲解的实战性：以最新最全的海关案例来解析课程内容，以成功的经验解决学员实际工作中的难题；</w:t>
      </w:r>
    </w:p>
    <w:p>
      <w:pPr>
        <w:spacing w:line="360" w:lineRule="auto"/>
        <w:rPr>
          <w:rFonts w:ascii="微软雅黑" w:hAnsi="微软雅黑" w:eastAsia="微软雅黑"/>
          <w:b/>
          <w:color w:val="FF0000"/>
          <w:sz w:val="24"/>
        </w:rPr>
      </w:pPr>
      <w:r>
        <w:rPr>
          <w:rFonts w:hint="eastAsia" w:ascii="微软雅黑" w:hAnsi="微软雅黑" w:eastAsia="微软雅黑"/>
          <w:b/>
          <w:color w:val="FF0000"/>
          <w:sz w:val="24"/>
        </w:rPr>
        <w:t>课程收益：</w:t>
      </w:r>
    </w:p>
    <w:p>
      <w:pPr>
        <w:adjustRightInd w:val="0"/>
        <w:snapToGrid w:val="0"/>
        <w:ind w:firstLine="420" w:firstLineChars="200"/>
        <w:rPr>
          <w:rFonts w:ascii="微软雅黑" w:hAnsi="微软雅黑" w:eastAsia="微软雅黑"/>
          <w:szCs w:val="21"/>
        </w:rPr>
      </w:pPr>
      <w:r>
        <w:rPr>
          <w:rFonts w:hint="eastAsia" w:ascii="微软雅黑" w:hAnsi="微软雅黑" w:eastAsia="微软雅黑"/>
          <w:szCs w:val="21"/>
        </w:rPr>
        <w:t xml:space="preserve">本课程可以让培训者获得以下收益： </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⒈ 对国际通用的《协调制度》在海关管理、贸易管制、出口退税等方面的应用具有一定的了解； </w:t>
      </w:r>
    </w:p>
    <w:p>
      <w:pPr>
        <w:adjustRightInd w:val="0"/>
        <w:snapToGrid w:val="0"/>
        <w:rPr>
          <w:rFonts w:ascii="微软雅黑" w:hAnsi="微软雅黑" w:eastAsia="微软雅黑"/>
          <w:szCs w:val="21"/>
        </w:rPr>
      </w:pPr>
      <w:r>
        <w:rPr>
          <w:rFonts w:hint="eastAsia" w:ascii="微软雅黑" w:hAnsi="微软雅黑" w:eastAsia="微软雅黑"/>
          <w:szCs w:val="21"/>
        </w:rPr>
        <w:t>⒉ 熟悉我国海关对进出口商品的归类工作机制，通过对其归类技术层面的条款及法律依据的充分掌握，合理规避相关税费，谋取企业经济利益最大化；</w:t>
      </w:r>
    </w:p>
    <w:p>
      <w:pPr>
        <w:adjustRightInd w:val="0"/>
        <w:snapToGrid w:val="0"/>
        <w:rPr>
          <w:rFonts w:ascii="微软雅黑" w:hAnsi="微软雅黑" w:eastAsia="微软雅黑"/>
          <w:b/>
          <w:color w:val="FF0000"/>
          <w:sz w:val="24"/>
        </w:rPr>
      </w:pPr>
      <w:r>
        <w:rPr>
          <w:rFonts w:hint="eastAsia" w:ascii="微软雅黑" w:hAnsi="微软雅黑" w:eastAsia="微软雅黑"/>
          <w:szCs w:val="21"/>
        </w:rPr>
        <w:t>⒊ 充分理解海关新近推出的归类相关法律法规文件，合理有效的利用这些政策降低成本，便利通关。</w:t>
      </w:r>
    </w:p>
    <w:p>
      <w:pPr>
        <w:widowControl/>
        <w:adjustRightInd w:val="0"/>
        <w:snapToGrid w:val="0"/>
        <w:ind w:left="1" w:hanging="1"/>
        <w:rPr>
          <w:rFonts w:ascii="微软雅黑" w:hAnsi="微软雅黑" w:eastAsia="微软雅黑"/>
          <w:b/>
          <w:color w:val="00B0F0"/>
          <w:sz w:val="24"/>
        </w:rPr>
        <w:sectPr>
          <w:type w:val="continuous"/>
          <w:pgSz w:w="11906" w:h="16838"/>
          <w:pgMar w:top="1134" w:right="1286" w:bottom="851" w:left="1134" w:header="851" w:footer="229" w:gutter="0"/>
          <w:pgNumType w:fmt="numberInDash"/>
          <w:cols w:space="425" w:num="1" w:sep="1"/>
          <w:docGrid w:type="linesAndChars" w:linePitch="312" w:charSpace="0"/>
        </w:sectPr>
      </w:pPr>
      <w:r>
        <w:rPr>
          <w:rFonts w:hint="eastAsia" w:ascii="宋体" w:hAnsi="宋体" w:cs="宋体"/>
          <w:kern w:val="0"/>
          <w:sz w:val="20"/>
          <w:szCs w:val="20"/>
        </w:rPr>
        <w:t xml:space="preserve">  </w:t>
      </w:r>
    </w:p>
    <w:p>
      <w:pPr>
        <w:spacing w:line="360" w:lineRule="auto"/>
        <w:rPr>
          <w:rFonts w:ascii="微软雅黑" w:hAnsi="微软雅黑" w:eastAsia="微软雅黑"/>
          <w:b/>
          <w:color w:val="FF0000"/>
          <w:sz w:val="24"/>
        </w:rPr>
      </w:pPr>
      <w:r>
        <w:rPr>
          <w:rFonts w:hint="eastAsia" w:ascii="微软雅黑" w:hAnsi="微软雅黑" w:eastAsia="微软雅黑"/>
          <w:b/>
          <w:color w:val="FF0000"/>
          <w:sz w:val="24"/>
        </w:rPr>
        <w:t>课程大纲：</w:t>
      </w:r>
    </w:p>
    <w:p>
      <w:pPr>
        <w:widowControl/>
        <w:adjustRightInd w:val="0"/>
        <w:snapToGrid w:val="0"/>
        <w:jc w:val="left"/>
        <w:rPr>
          <w:rFonts w:ascii="微软雅黑" w:hAnsi="微软雅黑" w:eastAsia="微软雅黑" w:cs="宋体"/>
          <w:b/>
          <w:kern w:val="0"/>
          <w:szCs w:val="21"/>
        </w:rPr>
        <w:sectPr>
          <w:type w:val="continuous"/>
          <w:pgSz w:w="11906" w:h="16838"/>
          <w:pgMar w:top="1134" w:right="1286" w:bottom="851" w:left="1134" w:header="851" w:footer="229" w:gutter="0"/>
          <w:pgNumType w:fmt="numberInDash"/>
          <w:cols w:space="425" w:num="1" w:sep="1"/>
          <w:docGrid w:type="linesAndChars" w:linePitch="312" w:charSpace="0"/>
        </w:sectPr>
      </w:pPr>
    </w:p>
    <w:p>
      <w:pPr>
        <w:widowControl/>
        <w:adjustRightInd w:val="0"/>
        <w:snapToGrid w:val="0"/>
        <w:jc w:val="left"/>
        <w:rPr>
          <w:rFonts w:ascii="微软雅黑" w:hAnsi="微软雅黑" w:eastAsia="微软雅黑" w:cs="宋体"/>
          <w:b/>
          <w:kern w:val="0"/>
          <w:szCs w:val="21"/>
        </w:rPr>
      </w:pPr>
      <w:r>
        <w:rPr>
          <w:rFonts w:hint="eastAsia" w:ascii="微软雅黑" w:hAnsi="微软雅黑" w:eastAsia="微软雅黑" w:cs="宋体"/>
          <w:b/>
          <w:kern w:val="0"/>
          <w:szCs w:val="21"/>
        </w:rPr>
        <w:t>第一模块、海关商品归类与《税则》的关系</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1、进出口贸易商品分类目录发展历程</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2、《协调制度》在我国应用演变情况</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3、《税则》实施与管理的现状与展望</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4、海关税收形式与企业商品归类风险</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w:t>
      </w:r>
    </w:p>
    <w:p>
      <w:pPr>
        <w:widowControl/>
        <w:adjustRightInd w:val="0"/>
        <w:snapToGrid w:val="0"/>
        <w:jc w:val="left"/>
        <w:rPr>
          <w:rFonts w:ascii="微软雅黑" w:hAnsi="微软雅黑" w:eastAsia="微软雅黑" w:cs="宋体"/>
          <w:b/>
          <w:kern w:val="0"/>
          <w:szCs w:val="21"/>
        </w:rPr>
      </w:pPr>
      <w:r>
        <w:rPr>
          <w:rFonts w:hint="eastAsia" w:ascii="微软雅黑" w:hAnsi="微软雅黑" w:eastAsia="微软雅黑" w:cs="宋体"/>
          <w:b/>
          <w:kern w:val="0"/>
          <w:szCs w:val="21"/>
        </w:rPr>
        <w:t>第二模块、进出口商品归类政策解析与应对</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1、海关商品归类政策的有效运用</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2、 ***案引发的国际贸易争端</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3、我国对外贸易管制的基本框架</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4、中国与美欧汽车零部件贸易争端</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5、典型商品海关归类政策运用剖析</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6、海关商品归类政策运用途径解析</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7、HS编码确定在中国为何如此重要</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8、海关颁布的归类政策的理解与应用</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w:t>
      </w:r>
    </w:p>
    <w:p>
      <w:pPr>
        <w:widowControl/>
        <w:adjustRightInd w:val="0"/>
        <w:snapToGrid w:val="0"/>
        <w:jc w:val="left"/>
        <w:rPr>
          <w:rFonts w:ascii="微软雅黑" w:hAnsi="微软雅黑" w:eastAsia="微软雅黑" w:cs="宋体"/>
          <w:b/>
          <w:kern w:val="0"/>
          <w:szCs w:val="21"/>
        </w:rPr>
      </w:pPr>
      <w:r>
        <w:rPr>
          <w:rFonts w:hint="eastAsia" w:ascii="微软雅黑" w:hAnsi="微软雅黑" w:eastAsia="微软雅黑" w:cs="宋体"/>
          <w:b/>
          <w:kern w:val="0"/>
          <w:szCs w:val="21"/>
        </w:rPr>
        <w:t>第三模块、进出口商品归类管理解析</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1、进出口税则结构及税号子目编排</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2、中国海关商品归类的组织机构及全国分布</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3、海关商品归类工作总流程及风险监控流程</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4、海关化验与社会化验的辩证关系</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5、海关化验的组织结构及其法律地位</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6、海关化验工作流程及其管理相对人的权利和义务</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7、海关商品预归类（商品归类行政裁定）申请流程</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8、预归类指导意见书的法律效力与实际使用效果</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9、海关商品预归类、归类行政裁定及归类决定对比</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10、海关系统内部商品归类疑难问题的处理流程和思路</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11、海关与企业对商品归类争议的有效解决途径</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12、我国现行海关商品归类磋商机制存在的缺陷性</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13、企业如何确实有效的运用好商品归类磋商机制</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14、欧美发达国家海关商品归类争议的解决途径及借鉴性</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15、我国目前相关企业对海关商品归类工作的态度及解决方法</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16、如与海关就商品归类产生利益分歧,如何与其打交道并有效争取</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w:t>
      </w:r>
    </w:p>
    <w:p>
      <w:pPr>
        <w:widowControl/>
        <w:adjustRightInd w:val="0"/>
        <w:snapToGrid w:val="0"/>
        <w:jc w:val="left"/>
        <w:rPr>
          <w:rFonts w:ascii="微软雅黑" w:hAnsi="微软雅黑" w:eastAsia="微软雅黑" w:cs="宋体"/>
          <w:b/>
          <w:kern w:val="0"/>
          <w:szCs w:val="21"/>
        </w:rPr>
      </w:pPr>
      <w:r>
        <w:rPr>
          <w:rFonts w:hint="eastAsia" w:ascii="微软雅黑" w:hAnsi="微软雅黑" w:eastAsia="微软雅黑" w:cs="宋体"/>
          <w:b/>
          <w:kern w:val="0"/>
          <w:szCs w:val="21"/>
        </w:rPr>
        <w:t>第四模块、进出口商品归类实务操作技巧与应对之道</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1、企业商品归类工作开展与出口退税操作的关系</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2、企业相关人员正确开展海关商品归类工作的基础</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3、哪些是在进行商品归类过程中可采用的法律依据</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4、《中华人民共和国进出口税则》结构及商品分布情况</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5、结合案例对归类总规则（一-六）的理解及其正确运用</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6、东西方文化差异对海关进出口商品归类的影响及如何规避</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7、行业标准或约定与《协调制度注释》产生分歧该如何解决</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8、海关对部分化工品、轻工产品的归类思路及操作技巧解析</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9、《协调制度》中的机电商品范畴及其分布情况</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10、进出口机器零部件的归类思路及其操作技巧解析</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11、海关对组合机器和多功能机组的归类思路及现行的操作方法</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12、目前企业对进出口商品归类工作的操作策略（粗放型和智能型）</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13、企业价格、原产地申报与海关对商品HS编码核查之间的内在联系</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14、商品归类工作开展商品详细资料获取路径与跨部门合作</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15、进出口商品HS编码的合规性评估与其适用性的内部审计</w:t>
      </w:r>
    </w:p>
    <w:p>
      <w:pPr>
        <w:widowControl/>
        <w:adjustRightInd w:val="0"/>
        <w:snapToGrid w:val="0"/>
        <w:jc w:val="left"/>
        <w:rPr>
          <w:rFonts w:ascii="微软雅黑" w:hAnsi="微软雅黑" w:eastAsia="微软雅黑" w:cs="宋体"/>
          <w:kern w:val="0"/>
          <w:szCs w:val="21"/>
        </w:rPr>
      </w:pPr>
      <w:r>
        <w:rPr>
          <w:rFonts w:hint="eastAsia" w:ascii="微软雅黑" w:hAnsi="微软雅黑" w:eastAsia="微软雅黑" w:cs="宋体"/>
          <w:kern w:val="0"/>
          <w:szCs w:val="21"/>
        </w:rPr>
        <w:t>16、企业相关人员如何切实有效的运用商品归类便利通关、节约成本</w:t>
      </w:r>
    </w:p>
    <w:p>
      <w:pPr>
        <w:widowControl/>
        <w:adjustRightInd w:val="0"/>
        <w:snapToGrid w:val="0"/>
        <w:jc w:val="left"/>
        <w:rPr>
          <w:rFonts w:ascii="微软雅黑" w:hAnsi="微软雅黑" w:eastAsia="微软雅黑" w:cs="宋体"/>
          <w:kern w:val="0"/>
          <w:szCs w:val="21"/>
        </w:rPr>
        <w:sectPr>
          <w:type w:val="continuous"/>
          <w:pgSz w:w="11906" w:h="16838"/>
          <w:pgMar w:top="1134" w:right="1286" w:bottom="851" w:left="1134" w:header="851" w:footer="229" w:gutter="0"/>
          <w:pgNumType w:fmt="numberInDash"/>
          <w:cols w:space="425" w:num="2" w:sep="1"/>
          <w:docGrid w:type="linesAndChars" w:linePitch="312" w:charSpace="0"/>
        </w:sectPr>
      </w:pPr>
      <w:r>
        <w:rPr>
          <w:rFonts w:hint="eastAsia" w:ascii="微软雅黑" w:hAnsi="微软雅黑" w:eastAsia="微软雅黑" w:cs="宋体"/>
          <w:kern w:val="0"/>
          <w:szCs w:val="21"/>
        </w:rPr>
        <w:t>……</w:t>
      </w:r>
    </w:p>
    <w:p>
      <w:pPr>
        <w:spacing w:line="360" w:lineRule="auto"/>
        <w:rPr>
          <w:rFonts w:ascii="微软雅黑" w:hAnsi="微软雅黑" w:eastAsia="微软雅黑"/>
          <w:b/>
          <w:color w:val="FF0000"/>
          <w:sz w:val="24"/>
        </w:rPr>
        <w:sectPr>
          <w:type w:val="continuous"/>
          <w:pgSz w:w="11906" w:h="16838"/>
          <w:pgMar w:top="1134" w:right="1286" w:bottom="851" w:left="1134" w:header="851" w:footer="229" w:gutter="0"/>
          <w:pgNumType w:fmt="numberInDash"/>
          <w:cols w:space="425" w:num="1" w:sep="1"/>
          <w:docGrid w:type="linesAndChars" w:linePitch="312" w:charSpace="0"/>
        </w:sectPr>
      </w:pPr>
    </w:p>
    <w:p>
      <w:pPr>
        <w:adjustRightInd w:val="0"/>
        <w:snapToGrid w:val="0"/>
        <w:rPr>
          <w:rFonts w:ascii="微软雅黑" w:hAnsi="微软雅黑" w:eastAsia="微软雅黑"/>
          <w:b/>
          <w:color w:val="FF0000"/>
          <w:sz w:val="24"/>
        </w:rPr>
      </w:pPr>
      <w:r>
        <w:rPr>
          <w:rFonts w:ascii="微软雅黑" w:hAnsi="微软雅黑" w:eastAsia="微软雅黑" w:cs="宋体"/>
          <w:color w:val="000000"/>
          <w:kern w:val="0"/>
          <w:szCs w:val="21"/>
        </w:rPr>
        <w:drawing>
          <wp:anchor distT="0" distB="0" distL="114300" distR="114300" simplePos="0" relativeHeight="251658240" behindDoc="0" locked="0" layoutInCell="1" allowOverlap="1">
            <wp:simplePos x="0" y="0"/>
            <wp:positionH relativeFrom="column">
              <wp:posOffset>4473575</wp:posOffset>
            </wp:positionH>
            <wp:positionV relativeFrom="paragraph">
              <wp:posOffset>6985</wp:posOffset>
            </wp:positionV>
            <wp:extent cx="1188720" cy="1499870"/>
            <wp:effectExtent l="19050" t="0" r="11430" b="462915"/>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615" cy="150957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hint="eastAsia" w:ascii="微软雅黑" w:hAnsi="微软雅黑" w:eastAsia="微软雅黑"/>
          <w:b/>
          <w:color w:val="FF0000"/>
          <w:sz w:val="24"/>
        </w:rPr>
        <w:t>讲师介绍：</w:t>
      </w:r>
    </w:p>
    <w:p>
      <w:pPr>
        <w:widowControl/>
        <w:adjustRightInd w:val="0"/>
        <w:snapToGrid w:val="0"/>
        <w:rPr>
          <w:rFonts w:ascii="微软雅黑" w:hAnsi="微软雅黑" w:eastAsia="微软雅黑" w:cs="宋体"/>
          <w:b/>
          <w:bCs/>
          <w:color w:val="000000"/>
          <w:kern w:val="0"/>
          <w:sz w:val="24"/>
          <w:szCs w:val="21"/>
        </w:rPr>
      </w:pPr>
      <w:r>
        <w:rPr>
          <w:rFonts w:hint="eastAsia" w:ascii="微软雅黑" w:hAnsi="微软雅黑" w:eastAsia="微软雅黑" w:cs="宋体"/>
          <w:b/>
          <w:bCs/>
          <w:color w:val="000000"/>
          <w:kern w:val="0"/>
          <w:sz w:val="24"/>
          <w:szCs w:val="21"/>
        </w:rPr>
        <w:t>Mr. Leon  Wang</w:t>
      </w:r>
    </w:p>
    <w:p>
      <w:pPr>
        <w:widowControl/>
        <w:adjustRightInd w:val="0"/>
        <w:snapToGrid w:val="0"/>
        <w:ind w:firstLine="420" w:firstLineChars="20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现为海关总署和帕迪咨询高级讲师，曾在上海海关工作10余年，</w:t>
      </w:r>
    </w:p>
    <w:p>
      <w:pPr>
        <w:widowControl/>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主要从事中国关务研究与培训工作，如HS编码专业审核、关务风险</w:t>
      </w:r>
    </w:p>
    <w:p>
      <w:pPr>
        <w:widowControl/>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防控与内审、关务筹划与合规管理；同时为上海海关学院海关税收研究</w:t>
      </w:r>
    </w:p>
    <w:p>
      <w:pPr>
        <w:widowControl/>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中心和报关研究中心专家组成员，中国海关学会会员。</w:t>
      </w:r>
    </w:p>
    <w:p>
      <w:pPr>
        <w:widowControl/>
        <w:adjustRightInd w:val="0"/>
        <w:snapToGrid w:val="0"/>
        <w:ind w:firstLine="420" w:firstLineChars="200"/>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社会兼职：德国商会、法国商会海关事务高级培训师，关务顾问，上海企业培训网签约高级培训师；</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同时利用自己的专业知识与实践经验为多家世界500强企业及国外商会提供进出口货物通关事务的培训与贸易合规咨询工作。</w:t>
      </w:r>
    </w:p>
    <w:p>
      <w:pPr>
        <w:widowControl/>
        <w:adjustRightInd w:val="0"/>
        <w:snapToGrid w:val="0"/>
        <w:ind w:firstLine="420" w:firstLineChars="20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王老师长期致力于关务管理规律的总结和传播，他的培训亦是多年来不断学习和提炼的智慧凝结。王老师坚持选择对关务人员有针对性的实用内容，在培训过程中，精心设计大量案例，用形象通俗的语言来阐明相对枯燥的实务操作，内容扎实，形式活泼，深受学员喜爱。</w:t>
      </w:r>
    </w:p>
    <w:p>
      <w:pPr>
        <w:widowControl/>
        <w:adjustRightInd w:val="0"/>
        <w:snapToGrid w:val="0"/>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主要服务过的客户：</w:t>
      </w:r>
    </w:p>
    <w:p>
      <w:pPr>
        <w:widowControl/>
        <w:adjustRightInd w:val="0"/>
        <w:snapToGrid w:val="0"/>
        <w:ind w:firstLine="420" w:firstLineChars="200"/>
        <w:rPr>
          <w:rFonts w:ascii="微软雅黑" w:hAnsi="微软雅黑" w:eastAsia="微软雅黑" w:cs="宋体"/>
          <w:b/>
          <w:bCs/>
          <w:color w:val="000000"/>
          <w:kern w:val="0"/>
          <w:szCs w:val="21"/>
        </w:rPr>
      </w:pPr>
      <w:r>
        <w:rPr>
          <w:rFonts w:hint="eastAsia" w:ascii="微软雅黑" w:hAnsi="微软雅黑" w:eastAsia="微软雅黑" w:cs="宋体"/>
          <w:color w:val="000000"/>
          <w:kern w:val="0"/>
          <w:szCs w:val="21"/>
        </w:rPr>
        <w:t>法国驻上海总领事馆商务处、博世（中国）投资有限公司、金佰利（中国）有限公司、欧莱雅（中国）有限公司、爱玛仕（中国）有限公司、罗地亚（中国）投资有限公司、必维国际检测集团、毕克化学技术咨询（上海）有限公司、中欧纺织联盟、圣戈班研发（上海）有限公司、伊斯拉视像设备制造（上海）有限公司、中国东风汽车进出口有限公司、堡盟电子（上海）有限公司、蒂森克虏伯电梯（上海）有限公司、采埃夫（中国）有限公司、艾森曼机械设备（上海）有限公司、戴姆勒东北亚零部件贸易服务有限公司、朗盛化学（中国）有限公司、沪东重机有限公司、广州医药有限公司、卓能电子（太仓）有限公司、浙江物产国际贸易有限公司、欧皮特传动系统（太仓）有限公司、吉孚动力总成技术（苏州）有限公司、大陆汽车系统（常熟）有限公司、苏州松下系统科技有限公司‥‥‥</w:t>
      </w:r>
    </w:p>
    <w:p>
      <w:pPr>
        <w:widowControl/>
        <w:adjustRightInd w:val="0"/>
        <w:snapToGrid w:val="0"/>
        <w:jc w:val="left"/>
        <w:rPr>
          <w:rFonts w:ascii="微软雅黑" w:hAnsi="微软雅黑" w:eastAsia="微软雅黑" w:cs="宋体"/>
          <w:kern w:val="0"/>
          <w:sz w:val="20"/>
          <w:szCs w:val="20"/>
        </w:rPr>
        <w:sectPr>
          <w:type w:val="continuous"/>
          <w:pgSz w:w="11906" w:h="16838"/>
          <w:pgMar w:top="1134" w:right="1286" w:bottom="851" w:left="1134" w:header="851" w:footer="229" w:gutter="0"/>
          <w:pgNumType w:fmt="numberInDash"/>
          <w:cols w:space="425" w:num="1" w:sep="1"/>
          <w:docGrid w:type="linesAndChars" w:linePitch="312" w:charSpace="0"/>
        </w:sectPr>
      </w:pPr>
    </w:p>
    <w:p>
      <w:pPr>
        <w:widowControl/>
        <w:adjustRightInd w:val="0"/>
        <w:snapToGrid w:val="0"/>
        <w:jc w:val="left"/>
        <w:rPr>
          <w:rFonts w:ascii="微软雅黑" w:hAnsi="微软雅黑" w:eastAsia="微软雅黑" w:cs="宋体"/>
          <w:kern w:val="0"/>
          <w:sz w:val="20"/>
          <w:szCs w:val="20"/>
        </w:rPr>
        <w:sectPr>
          <w:type w:val="continuous"/>
          <w:pgSz w:w="11906" w:h="16838"/>
          <w:pgMar w:top="1134" w:right="1286" w:bottom="851" w:left="1134" w:header="851" w:footer="229" w:gutter="0"/>
          <w:pgNumType w:fmt="numberInDash"/>
          <w:cols w:space="425" w:num="1" w:sep="1"/>
          <w:docGrid w:type="linesAndChars" w:linePitch="312" w:charSpace="0"/>
        </w:sectPr>
      </w:pPr>
    </w:p>
    <w:p>
      <w:pPr>
        <w:widowControl/>
        <w:tabs>
          <w:tab w:val="left" w:pos="668"/>
        </w:tabs>
        <w:ind w:left="108"/>
        <w:jc w:val="center"/>
        <w:rPr>
          <w:rFonts w:eastAsia="微软雅黑"/>
          <w:b/>
          <w:color w:val="FF0000"/>
          <w:sz w:val="36"/>
        </w:rPr>
      </w:pPr>
      <w:r>
        <w:rPr>
          <w:rFonts w:eastAsia="微软雅黑"/>
          <w:b/>
          <w:color w:val="FF0000"/>
          <w:sz w:val="36"/>
        </w:rPr>
        <w:t>报 名 回 执</w:t>
      </w:r>
    </w:p>
    <w:p>
      <w:pPr>
        <w:widowControl/>
        <w:tabs>
          <w:tab w:val="left" w:pos="668"/>
        </w:tabs>
        <w:ind w:left="108"/>
        <w:jc w:val="center"/>
        <w:rPr>
          <w:rFonts w:eastAsia="微软雅黑"/>
          <w:sz w:val="44"/>
        </w:rPr>
      </w:pPr>
    </w:p>
    <w:tbl>
      <w:tblPr>
        <w:tblStyle w:val="11"/>
        <w:tblW w:w="9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709"/>
        <w:gridCol w:w="1354"/>
        <w:gridCol w:w="2186"/>
        <w:gridCol w:w="1333"/>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vAlign w:val="center"/>
          </w:tcPr>
          <w:p>
            <w:pPr>
              <w:tabs>
                <w:tab w:val="left" w:pos="1080"/>
              </w:tabs>
              <w:spacing w:line="340" w:lineRule="exact"/>
              <w:jc w:val="center"/>
              <w:rPr>
                <w:rFonts w:eastAsia="微软雅黑"/>
                <w:b/>
                <w:kern w:val="10"/>
                <w:sz w:val="24"/>
              </w:rPr>
            </w:pPr>
            <w:r>
              <w:rPr>
                <w:rFonts w:eastAsia="微软雅黑"/>
                <w:b/>
                <w:kern w:val="10"/>
                <w:sz w:val="24"/>
              </w:rPr>
              <w:t>课程名称</w:t>
            </w:r>
          </w:p>
        </w:tc>
        <w:tc>
          <w:tcPr>
            <w:tcW w:w="4249" w:type="dxa"/>
            <w:gridSpan w:val="3"/>
            <w:vAlign w:val="center"/>
          </w:tcPr>
          <w:p>
            <w:pPr>
              <w:tabs>
                <w:tab w:val="left" w:pos="1080"/>
              </w:tabs>
              <w:spacing w:line="340" w:lineRule="exact"/>
              <w:jc w:val="center"/>
              <w:rPr>
                <w:rFonts w:eastAsia="微软雅黑"/>
                <w:b/>
                <w:kern w:val="10"/>
                <w:sz w:val="24"/>
              </w:rPr>
            </w:pPr>
          </w:p>
        </w:tc>
        <w:tc>
          <w:tcPr>
            <w:tcW w:w="1333"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城市/日期</w:t>
            </w:r>
          </w:p>
        </w:tc>
        <w:tc>
          <w:tcPr>
            <w:tcW w:w="2795" w:type="dxa"/>
            <w:vAlign w:val="center"/>
          </w:tcPr>
          <w:p>
            <w:pPr>
              <w:tabs>
                <w:tab w:val="left" w:pos="1080"/>
              </w:tabs>
              <w:spacing w:line="340" w:lineRule="exact"/>
              <w:jc w:val="center"/>
              <w:rPr>
                <w:rFonts w:eastAsia="微软雅黑"/>
                <w:b/>
                <w:ker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3457" w:type="dxa"/>
            <w:gridSpan w:val="3"/>
            <w:vAlign w:val="center"/>
          </w:tcPr>
          <w:p>
            <w:pPr>
              <w:tabs>
                <w:tab w:val="left" w:pos="1080"/>
              </w:tabs>
              <w:spacing w:line="340" w:lineRule="exact"/>
              <w:rPr>
                <w:rFonts w:eastAsia="微软雅黑"/>
                <w:b/>
                <w:kern w:val="10"/>
                <w:sz w:val="24"/>
              </w:rPr>
            </w:pPr>
            <w:r>
              <w:rPr>
                <w:rFonts w:eastAsia="微软雅黑"/>
                <w:b/>
                <w:kern w:val="10"/>
                <w:sz w:val="24"/>
              </w:rPr>
              <w:t>培训负责人：</w:t>
            </w:r>
          </w:p>
        </w:tc>
        <w:tc>
          <w:tcPr>
            <w:tcW w:w="6314" w:type="dxa"/>
            <w:gridSpan w:val="3"/>
            <w:vAlign w:val="center"/>
          </w:tcPr>
          <w:p>
            <w:pPr>
              <w:tabs>
                <w:tab w:val="left" w:pos="1080"/>
              </w:tabs>
              <w:spacing w:line="340" w:lineRule="exact"/>
              <w:rPr>
                <w:rFonts w:eastAsia="微软雅黑"/>
                <w:b/>
                <w:kern w:val="10"/>
                <w:sz w:val="24"/>
              </w:rPr>
            </w:pPr>
            <w:r>
              <w:rPr>
                <w:rFonts w:eastAsia="微软雅黑"/>
                <w:b/>
                <w:kern w:val="10"/>
                <w:sz w:val="24"/>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vAlign w:val="center"/>
          </w:tcPr>
          <w:p>
            <w:pPr>
              <w:tabs>
                <w:tab w:val="left" w:pos="1080"/>
              </w:tabs>
              <w:spacing w:line="340" w:lineRule="exact"/>
              <w:jc w:val="center"/>
              <w:rPr>
                <w:rFonts w:eastAsia="微软雅黑"/>
                <w:b/>
                <w:kern w:val="10"/>
                <w:sz w:val="24"/>
              </w:rPr>
            </w:pPr>
            <w:r>
              <w:rPr>
                <w:rFonts w:eastAsia="微软雅黑"/>
                <w:b/>
                <w:kern w:val="10"/>
                <w:sz w:val="24"/>
              </w:rPr>
              <w:t>姓名</w:t>
            </w:r>
          </w:p>
        </w:tc>
        <w:tc>
          <w:tcPr>
            <w:tcW w:w="709" w:type="dxa"/>
            <w:vAlign w:val="center"/>
          </w:tcPr>
          <w:p>
            <w:pPr>
              <w:tabs>
                <w:tab w:val="left" w:pos="1080"/>
              </w:tabs>
              <w:spacing w:line="340" w:lineRule="exact"/>
              <w:jc w:val="center"/>
              <w:rPr>
                <w:rFonts w:eastAsia="微软雅黑"/>
                <w:b/>
                <w:kern w:val="10"/>
                <w:sz w:val="24"/>
              </w:rPr>
            </w:pPr>
            <w:r>
              <w:rPr>
                <w:rFonts w:eastAsia="微软雅黑"/>
                <w:b/>
                <w:kern w:val="10"/>
                <w:sz w:val="24"/>
              </w:rPr>
              <w:t>性别</w:t>
            </w:r>
          </w:p>
        </w:tc>
        <w:tc>
          <w:tcPr>
            <w:tcW w:w="1354" w:type="dxa"/>
            <w:vAlign w:val="center"/>
          </w:tcPr>
          <w:p>
            <w:pPr>
              <w:tabs>
                <w:tab w:val="left" w:pos="1080"/>
              </w:tabs>
              <w:spacing w:line="340" w:lineRule="exact"/>
              <w:jc w:val="center"/>
              <w:rPr>
                <w:rFonts w:eastAsia="微软雅黑"/>
                <w:b/>
                <w:kern w:val="10"/>
                <w:sz w:val="24"/>
              </w:rPr>
            </w:pPr>
            <w:r>
              <w:rPr>
                <w:rFonts w:eastAsia="微软雅黑"/>
                <w:b/>
                <w:kern w:val="10"/>
                <w:sz w:val="24"/>
              </w:rPr>
              <w:t>部门/职位</w:t>
            </w:r>
          </w:p>
        </w:tc>
        <w:tc>
          <w:tcPr>
            <w:tcW w:w="2186"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手机</w:t>
            </w:r>
          </w:p>
        </w:tc>
        <w:tc>
          <w:tcPr>
            <w:tcW w:w="4128" w:type="dxa"/>
            <w:gridSpan w:val="2"/>
            <w:vAlign w:val="center"/>
          </w:tcPr>
          <w:p>
            <w:pPr>
              <w:tabs>
                <w:tab w:val="left" w:pos="1080"/>
              </w:tabs>
              <w:spacing w:line="340" w:lineRule="exact"/>
              <w:jc w:val="center"/>
              <w:rPr>
                <w:rFonts w:eastAsia="微软雅黑"/>
                <w:b/>
                <w:kern w:val="10"/>
                <w:sz w:val="24"/>
              </w:rPr>
            </w:pPr>
            <w:r>
              <w:rPr>
                <w:rFonts w:hint="eastAsia" w:eastAsia="微软雅黑"/>
                <w:b/>
                <w:kern w:val="1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exact"/>
          <w:jc w:val="center"/>
        </w:trPr>
        <w:tc>
          <w:tcPr>
            <w:tcW w:w="5643" w:type="dxa"/>
            <w:gridSpan w:val="4"/>
            <w:vAlign w:val="center"/>
          </w:tcPr>
          <w:p>
            <w:pPr>
              <w:adjustRightInd w:val="0"/>
              <w:snapToGrid w:val="0"/>
              <w:rPr>
                <w:rFonts w:eastAsia="微软雅黑"/>
                <w:b/>
                <w:sz w:val="22"/>
              </w:rPr>
            </w:pPr>
            <w:r>
              <w:rPr>
                <w:rFonts w:hint="eastAsia" w:eastAsia="微软雅黑"/>
                <w:b/>
                <w:sz w:val="22"/>
              </w:rPr>
              <w:t>帕迪公司账户信息：</w:t>
            </w:r>
          </w:p>
          <w:p>
            <w:pPr>
              <w:adjustRightInd w:val="0"/>
              <w:snapToGrid w:val="0"/>
              <w:rPr>
                <w:rFonts w:eastAsia="微软雅黑"/>
                <w:sz w:val="22"/>
              </w:rPr>
            </w:pPr>
            <w:r>
              <w:rPr>
                <w:rFonts w:hint="eastAsia" w:eastAsia="微软雅黑"/>
                <w:sz w:val="22"/>
              </w:rPr>
              <w:t xml:space="preserve">开户名称：上海帕迪企业管理咨询有限公司  </w:t>
            </w:r>
          </w:p>
          <w:p>
            <w:pPr>
              <w:adjustRightInd w:val="0"/>
              <w:snapToGrid w:val="0"/>
              <w:rPr>
                <w:rFonts w:eastAsia="微软雅黑"/>
                <w:sz w:val="22"/>
              </w:rPr>
            </w:pPr>
            <w:r>
              <w:rPr>
                <w:rFonts w:hint="eastAsia" w:eastAsia="微软雅黑"/>
                <w:sz w:val="22"/>
              </w:rPr>
              <w:t>银行帐号：03485500040002793</w:t>
            </w:r>
          </w:p>
          <w:p>
            <w:pPr>
              <w:adjustRightInd w:val="0"/>
              <w:snapToGrid w:val="0"/>
              <w:rPr>
                <w:rFonts w:eastAsia="微软雅黑"/>
                <w:b/>
                <w:kern w:val="10"/>
                <w:sz w:val="24"/>
              </w:rPr>
            </w:pPr>
            <w:r>
              <w:rPr>
                <w:rFonts w:hint="eastAsia" w:eastAsia="微软雅黑"/>
                <w:sz w:val="22"/>
              </w:rPr>
              <w:t>开户银行：农业银行上海市复旦支行</w:t>
            </w:r>
          </w:p>
        </w:tc>
        <w:tc>
          <w:tcPr>
            <w:tcW w:w="4128" w:type="dxa"/>
            <w:gridSpan w:val="2"/>
            <w:vAlign w:val="center"/>
          </w:tcPr>
          <w:p>
            <w:pPr>
              <w:shd w:val="solid" w:color="FFFFFF" w:fill="auto"/>
              <w:autoSpaceDN w:val="0"/>
              <w:spacing w:line="360" w:lineRule="exact"/>
              <w:textAlignment w:val="baseline"/>
              <w:rPr>
                <w:rFonts w:eastAsia="微软雅黑"/>
                <w:b/>
                <w:sz w:val="24"/>
              </w:rPr>
            </w:pPr>
            <w:r>
              <w:rPr>
                <w:rFonts w:ascii="Segoe UI Symbol" w:hAnsi="Segoe UI Symbol" w:eastAsia="微软雅黑" w:cs="Segoe UI Symbol"/>
                <w:b/>
                <w:sz w:val="24"/>
              </w:rPr>
              <w:t>★</w:t>
            </w:r>
            <w:r>
              <w:rPr>
                <w:rFonts w:eastAsia="微软雅黑"/>
                <w:b/>
                <w:sz w:val="24"/>
              </w:rPr>
              <w:t xml:space="preserve">缴费方式：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现场缴费</w:t>
            </w:r>
            <w:r>
              <w:rPr>
                <w:rFonts w:hint="eastAsia" w:eastAsia="微软雅黑"/>
                <w:b/>
                <w:szCs w:val="21"/>
              </w:rPr>
              <w:t>（现金，微信，支付宝）</w:t>
            </w:r>
            <w:r>
              <w:rPr>
                <w:rFonts w:hint="eastAsia" w:eastAsia="微软雅黑"/>
                <w:b/>
                <w:sz w:val="24"/>
              </w:rPr>
              <w:t xml:space="preserve">   </w:t>
            </w:r>
            <w:r>
              <w:rPr>
                <w:rFonts w:eastAsia="微软雅黑"/>
                <w:b/>
                <w:sz w:val="24"/>
              </w:rPr>
              <w:t xml:space="preserve">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公司转账</w:t>
            </w:r>
            <w:r>
              <w:rPr>
                <w:rFonts w:hint="eastAsia" w:eastAsia="微软雅黑"/>
                <w:b/>
                <w:sz w:val="24"/>
              </w:rPr>
              <w:t xml:space="preserve">     </w:t>
            </w:r>
          </w:p>
          <w:p>
            <w:pPr>
              <w:shd w:val="solid" w:color="FFFFFF" w:fill="auto"/>
              <w:autoSpaceDN w:val="0"/>
              <w:spacing w:line="360" w:lineRule="exact"/>
              <w:textAlignment w:val="baseline"/>
              <w:rPr>
                <w:rFonts w:eastAsia="微软雅黑"/>
                <w:szCs w:val="21"/>
              </w:rPr>
            </w:pPr>
          </w:p>
        </w:tc>
      </w:tr>
    </w:tbl>
    <w:p>
      <w:pPr>
        <w:widowControl/>
        <w:tabs>
          <w:tab w:val="left" w:pos="475"/>
        </w:tabs>
        <w:adjustRightInd w:val="0"/>
        <w:snapToGrid w:val="0"/>
        <w:ind w:left="108"/>
        <w:jc w:val="left"/>
        <w:rPr>
          <w:rFonts w:ascii="微软雅黑" w:hAnsi="微软雅黑" w:eastAsia="微软雅黑" w:cs="宋体"/>
          <w:kern w:val="0"/>
          <w:sz w:val="20"/>
          <w:szCs w:val="20"/>
        </w:rPr>
      </w:pPr>
    </w:p>
    <w:sectPr>
      <w:type w:val="continuous"/>
      <w:pgSz w:w="11906" w:h="16838"/>
      <w:pgMar w:top="1134" w:right="1286" w:bottom="851" w:left="1134" w:header="851" w:footer="229" w:gutter="0"/>
      <w:pgNumType w:fmt="numberInDash"/>
      <w:cols w:space="425" w:num="1" w:sep="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10.55pt;margin-top:5.5pt;height:0pt;width:448.45pt;z-index:251655168;mso-width-relative:page;mso-height-relative:page;" filled="f" stroked="t" coordsize="21600,21600" o:gfxdata="UEsDBAoAAAAAAIdO4kAAAAAAAAAAAAAAAAAEAAAAZHJzL1BLAwQUAAAACACHTuJANHgsp9MAAAAI&#10;AQAADwAAAGRycy9kb3ducmV2LnhtbE1Py07DMBC8I/EP1iJxqajjIKGSxukByI0LpYjrNt4mEfE6&#10;jd0HfD2LOMBt56HZmXJ19oM60hT7wBbMPANF3ATXc2th81rfLEDFhOxwCEwWPinCqrq8KLFw4cQv&#10;dFynVkkIxwItdCmNhdax6chjnIeRWLRdmDwmgVOr3YQnCfeDzrPsTnvsWT50ONJDR83H+uAtxPqN&#10;9vXXrJll77dtoHz/+PyE1l5fmWwJKtE5/Znhp75Uh0o6bcOBXVSDhdwYcQpvZJLo92Yhx/aX0FWp&#10;/w+ovgFQSwMEFAAAAAgAh07iQJANzSevAQAAUgMAAA4AAABkcnMvZTJvRG9jLnhtbK1TTY/bIBC9&#10;V+p/QNwbx6my6lpx9pDV9pK2kXb7AwhgGy0waCCx8+87kI9u21u1PiDDzLx57w2sHiZn2VFjNOBb&#10;Xs/mnGkvQRnft/zny9OnL5zFJLwSFrxu+UlH/rD++GE1hkYvYACrNDIC8bEZQ8uHlEJTVVEO2ok4&#10;g6A9BTtAJxJtsa8UipHQna0W8/ldNQKqgCB1jHT6eA7ydcHvOi3Tj66LOjHbcuKWyopl3ee1Wq9E&#10;06MIg5EXGuI/WDhhPDW9QT2KJNgBzT9QzkiECF2aSXAVdJ2RumggNfX8LzXPgwi6aCFzYrjZFN8P&#10;Vn4/7pAZRbPjzAtHI9oar1m9yNaMITaUsfE7zOLk5J/DFuRrZB42g/C9LhRfToHq6lxR/VGSNzFQ&#10;g/34DRTliEOC4tPUocuQ5ACbyjhOt3HoKTFJh8u7++XnesmZvMYq0VwLA8b0VYNj+afllkgXYHHc&#10;xpSJiOaakvt4eDLWlmlbz8aW3y8Xy1IQwRqVgzktYr/fWGRHke9L+YoqirxNQzh4dW5i/UV01nl2&#10;bA/qtMOrGTS4wuZyyfLNeLsv1b+fw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Hgsp9MAAAAI&#10;AQAADwAAAAAAAAABACAAAAAiAAAAZHJzL2Rvd25yZXYueG1sUEsBAhQAFAAAAAgAh07iQJANzSev&#10;AQAAUgMAAA4AAAAAAAAAAQAgAAAAIgEAAGRycy9lMm9Eb2MueG1sUEsFBgAAAAAGAAYAWQEAAEMF&#10;AAAAAA==&#10;">
              <v:fill on="f" focussize="0,0"/>
              <v:stroke color="#000000" joinstyle="round"/>
              <v:imagedata o:title=""/>
              <o:lock v:ext="edit" aspectratio="f"/>
            </v:line>
          </w:pict>
        </mc:Fallback>
      </mc:AlternateContent>
    </w:r>
  </w:p>
  <w:p>
    <w:pPr>
      <w:pStyle w:val="4"/>
      <w:jc w:val="center"/>
      <w:rPr>
        <w:rFonts w:ascii="微软雅黑" w:hAnsi="微软雅黑" w:eastAsia="微软雅黑"/>
        <w:lang w:val="fr-F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微软雅黑" w:hAnsi="微软雅黑" w:eastAsia="微软雅黑"/>
        <w:b/>
        <w:color w:val="FD7B41"/>
        <w:sz w:val="21"/>
        <w:szCs w:val="21"/>
      </w:rPr>
    </w:pP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专注采购</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与供应链培训</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 xml:space="preserve"> </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&amp; CPSM</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认证</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培训</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1B"/>
    <w:rsid w:val="00000BFD"/>
    <w:rsid w:val="00000EC9"/>
    <w:rsid w:val="00001618"/>
    <w:rsid w:val="000133C0"/>
    <w:rsid w:val="0001481B"/>
    <w:rsid w:val="00014A2B"/>
    <w:rsid w:val="00015B8C"/>
    <w:rsid w:val="0003098F"/>
    <w:rsid w:val="00031539"/>
    <w:rsid w:val="00031BBA"/>
    <w:rsid w:val="000436F4"/>
    <w:rsid w:val="00043B28"/>
    <w:rsid w:val="00045A18"/>
    <w:rsid w:val="00047B63"/>
    <w:rsid w:val="0005482D"/>
    <w:rsid w:val="00061426"/>
    <w:rsid w:val="0006227F"/>
    <w:rsid w:val="00062859"/>
    <w:rsid w:val="00063487"/>
    <w:rsid w:val="00066777"/>
    <w:rsid w:val="00071125"/>
    <w:rsid w:val="00073448"/>
    <w:rsid w:val="00077CB1"/>
    <w:rsid w:val="00080BF4"/>
    <w:rsid w:val="000810E4"/>
    <w:rsid w:val="000814D3"/>
    <w:rsid w:val="0008162D"/>
    <w:rsid w:val="00082D63"/>
    <w:rsid w:val="000831B6"/>
    <w:rsid w:val="000872E5"/>
    <w:rsid w:val="0009026E"/>
    <w:rsid w:val="0009755A"/>
    <w:rsid w:val="000A0D30"/>
    <w:rsid w:val="000A2BA2"/>
    <w:rsid w:val="000A3436"/>
    <w:rsid w:val="000A5DD7"/>
    <w:rsid w:val="000B21BF"/>
    <w:rsid w:val="000B7013"/>
    <w:rsid w:val="000C5FC3"/>
    <w:rsid w:val="000C7FDD"/>
    <w:rsid w:val="000D03CC"/>
    <w:rsid w:val="000D1F9B"/>
    <w:rsid w:val="000D2D5F"/>
    <w:rsid w:val="000E1304"/>
    <w:rsid w:val="000E1376"/>
    <w:rsid w:val="000E3BD9"/>
    <w:rsid w:val="000E4826"/>
    <w:rsid w:val="000F0234"/>
    <w:rsid w:val="000F4F31"/>
    <w:rsid w:val="000F5953"/>
    <w:rsid w:val="000F5A5A"/>
    <w:rsid w:val="000F7635"/>
    <w:rsid w:val="001019E9"/>
    <w:rsid w:val="00103477"/>
    <w:rsid w:val="0010747E"/>
    <w:rsid w:val="00110C41"/>
    <w:rsid w:val="00112685"/>
    <w:rsid w:val="001140EC"/>
    <w:rsid w:val="00115466"/>
    <w:rsid w:val="001178B7"/>
    <w:rsid w:val="001214C6"/>
    <w:rsid w:val="00126244"/>
    <w:rsid w:val="0012768C"/>
    <w:rsid w:val="0013155D"/>
    <w:rsid w:val="00133D1D"/>
    <w:rsid w:val="00137DD0"/>
    <w:rsid w:val="001440D0"/>
    <w:rsid w:val="00147C16"/>
    <w:rsid w:val="00151461"/>
    <w:rsid w:val="00153B1E"/>
    <w:rsid w:val="00162C95"/>
    <w:rsid w:val="00164BBB"/>
    <w:rsid w:val="001745BD"/>
    <w:rsid w:val="00176CF2"/>
    <w:rsid w:val="00181AE7"/>
    <w:rsid w:val="00194294"/>
    <w:rsid w:val="00194472"/>
    <w:rsid w:val="00195E06"/>
    <w:rsid w:val="001A0FAA"/>
    <w:rsid w:val="001A258B"/>
    <w:rsid w:val="001A48C5"/>
    <w:rsid w:val="001B0171"/>
    <w:rsid w:val="001B0C54"/>
    <w:rsid w:val="001B1A66"/>
    <w:rsid w:val="001C0A06"/>
    <w:rsid w:val="001C0AEC"/>
    <w:rsid w:val="001C237B"/>
    <w:rsid w:val="001C6765"/>
    <w:rsid w:val="001C6C15"/>
    <w:rsid w:val="001C6F84"/>
    <w:rsid w:val="001D1014"/>
    <w:rsid w:val="001E3B26"/>
    <w:rsid w:val="001E59D9"/>
    <w:rsid w:val="001F33A7"/>
    <w:rsid w:val="001F4311"/>
    <w:rsid w:val="001F477E"/>
    <w:rsid w:val="001F6FDE"/>
    <w:rsid w:val="002051A7"/>
    <w:rsid w:val="002075A3"/>
    <w:rsid w:val="00213AAF"/>
    <w:rsid w:val="00214AE8"/>
    <w:rsid w:val="0022029A"/>
    <w:rsid w:val="00223AE2"/>
    <w:rsid w:val="00231590"/>
    <w:rsid w:val="0023193E"/>
    <w:rsid w:val="0023445D"/>
    <w:rsid w:val="00234668"/>
    <w:rsid w:val="00235486"/>
    <w:rsid w:val="00240518"/>
    <w:rsid w:val="00250406"/>
    <w:rsid w:val="00251F92"/>
    <w:rsid w:val="002565B1"/>
    <w:rsid w:val="00260110"/>
    <w:rsid w:val="002609E7"/>
    <w:rsid w:val="002667FD"/>
    <w:rsid w:val="002677AD"/>
    <w:rsid w:val="00270794"/>
    <w:rsid w:val="00274326"/>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33FF"/>
    <w:rsid w:val="002C55F8"/>
    <w:rsid w:val="002C58DB"/>
    <w:rsid w:val="002C7270"/>
    <w:rsid w:val="002D5646"/>
    <w:rsid w:val="002E5618"/>
    <w:rsid w:val="002F287C"/>
    <w:rsid w:val="002F31AF"/>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66C2"/>
    <w:rsid w:val="003203AF"/>
    <w:rsid w:val="00332BD3"/>
    <w:rsid w:val="00334292"/>
    <w:rsid w:val="00336100"/>
    <w:rsid w:val="00341925"/>
    <w:rsid w:val="00341F39"/>
    <w:rsid w:val="00351B98"/>
    <w:rsid w:val="00352B4D"/>
    <w:rsid w:val="00365D38"/>
    <w:rsid w:val="0036610F"/>
    <w:rsid w:val="003706EF"/>
    <w:rsid w:val="00370CC2"/>
    <w:rsid w:val="0037216F"/>
    <w:rsid w:val="00372DF6"/>
    <w:rsid w:val="00375B80"/>
    <w:rsid w:val="00380817"/>
    <w:rsid w:val="00383423"/>
    <w:rsid w:val="00387BBA"/>
    <w:rsid w:val="00387FA5"/>
    <w:rsid w:val="00390B6E"/>
    <w:rsid w:val="00394097"/>
    <w:rsid w:val="00394666"/>
    <w:rsid w:val="0039685A"/>
    <w:rsid w:val="003977B7"/>
    <w:rsid w:val="00397DE4"/>
    <w:rsid w:val="003A1019"/>
    <w:rsid w:val="003A1409"/>
    <w:rsid w:val="003A32F1"/>
    <w:rsid w:val="003B123C"/>
    <w:rsid w:val="003B5DC8"/>
    <w:rsid w:val="003C19BC"/>
    <w:rsid w:val="003C32B1"/>
    <w:rsid w:val="003C3B64"/>
    <w:rsid w:val="003C5FAC"/>
    <w:rsid w:val="003D0D03"/>
    <w:rsid w:val="003D5064"/>
    <w:rsid w:val="003D583D"/>
    <w:rsid w:val="003E42D0"/>
    <w:rsid w:val="003E572D"/>
    <w:rsid w:val="003F2F5A"/>
    <w:rsid w:val="003F472B"/>
    <w:rsid w:val="003F73EC"/>
    <w:rsid w:val="004035A2"/>
    <w:rsid w:val="00407573"/>
    <w:rsid w:val="00411BDE"/>
    <w:rsid w:val="0041372B"/>
    <w:rsid w:val="00414B98"/>
    <w:rsid w:val="00417448"/>
    <w:rsid w:val="00424AC6"/>
    <w:rsid w:val="0042579D"/>
    <w:rsid w:val="00425F04"/>
    <w:rsid w:val="00431B10"/>
    <w:rsid w:val="004404DA"/>
    <w:rsid w:val="00442E93"/>
    <w:rsid w:val="004437A8"/>
    <w:rsid w:val="00444298"/>
    <w:rsid w:val="00452C6B"/>
    <w:rsid w:val="00453411"/>
    <w:rsid w:val="0045357E"/>
    <w:rsid w:val="00455A8D"/>
    <w:rsid w:val="004568E3"/>
    <w:rsid w:val="00457034"/>
    <w:rsid w:val="0045732E"/>
    <w:rsid w:val="00462B99"/>
    <w:rsid w:val="00463572"/>
    <w:rsid w:val="00464718"/>
    <w:rsid w:val="00470097"/>
    <w:rsid w:val="004739E7"/>
    <w:rsid w:val="0047507B"/>
    <w:rsid w:val="00482F98"/>
    <w:rsid w:val="00485775"/>
    <w:rsid w:val="004900B5"/>
    <w:rsid w:val="0049247C"/>
    <w:rsid w:val="00494D3F"/>
    <w:rsid w:val="004A7773"/>
    <w:rsid w:val="004B37D3"/>
    <w:rsid w:val="004B391D"/>
    <w:rsid w:val="004B4B82"/>
    <w:rsid w:val="004C0558"/>
    <w:rsid w:val="004C074B"/>
    <w:rsid w:val="004C2D32"/>
    <w:rsid w:val="004C5628"/>
    <w:rsid w:val="004D1745"/>
    <w:rsid w:val="004D2B40"/>
    <w:rsid w:val="004D2DE2"/>
    <w:rsid w:val="004D684C"/>
    <w:rsid w:val="004D6BCC"/>
    <w:rsid w:val="004D7A31"/>
    <w:rsid w:val="004F1007"/>
    <w:rsid w:val="004F1FFF"/>
    <w:rsid w:val="004F2BDD"/>
    <w:rsid w:val="004F38C1"/>
    <w:rsid w:val="004F41DE"/>
    <w:rsid w:val="004F4742"/>
    <w:rsid w:val="004F5E75"/>
    <w:rsid w:val="00503D82"/>
    <w:rsid w:val="005076B3"/>
    <w:rsid w:val="00512398"/>
    <w:rsid w:val="005128C5"/>
    <w:rsid w:val="00512D1F"/>
    <w:rsid w:val="00514CDE"/>
    <w:rsid w:val="00516C50"/>
    <w:rsid w:val="00521C44"/>
    <w:rsid w:val="00531173"/>
    <w:rsid w:val="005323B5"/>
    <w:rsid w:val="00533E15"/>
    <w:rsid w:val="00534DD6"/>
    <w:rsid w:val="00535335"/>
    <w:rsid w:val="00540285"/>
    <w:rsid w:val="005404B5"/>
    <w:rsid w:val="00541C2E"/>
    <w:rsid w:val="00542E46"/>
    <w:rsid w:val="0054532C"/>
    <w:rsid w:val="00546864"/>
    <w:rsid w:val="00546B86"/>
    <w:rsid w:val="005531C5"/>
    <w:rsid w:val="005562A1"/>
    <w:rsid w:val="005638A0"/>
    <w:rsid w:val="00565818"/>
    <w:rsid w:val="00567C57"/>
    <w:rsid w:val="00571D69"/>
    <w:rsid w:val="005728ED"/>
    <w:rsid w:val="00574E94"/>
    <w:rsid w:val="00575664"/>
    <w:rsid w:val="00577D5A"/>
    <w:rsid w:val="0058616D"/>
    <w:rsid w:val="005917A1"/>
    <w:rsid w:val="0059218E"/>
    <w:rsid w:val="00592A09"/>
    <w:rsid w:val="00593EB7"/>
    <w:rsid w:val="005959F6"/>
    <w:rsid w:val="00596070"/>
    <w:rsid w:val="005A1308"/>
    <w:rsid w:val="005A3A92"/>
    <w:rsid w:val="005A432E"/>
    <w:rsid w:val="005A4F1D"/>
    <w:rsid w:val="005A7D89"/>
    <w:rsid w:val="005B059A"/>
    <w:rsid w:val="005B0CB4"/>
    <w:rsid w:val="005B6DA2"/>
    <w:rsid w:val="005B74B8"/>
    <w:rsid w:val="005C093C"/>
    <w:rsid w:val="005C0CAD"/>
    <w:rsid w:val="005D0511"/>
    <w:rsid w:val="005D0CA1"/>
    <w:rsid w:val="005D390C"/>
    <w:rsid w:val="005D5877"/>
    <w:rsid w:val="005E77F4"/>
    <w:rsid w:val="005F31A7"/>
    <w:rsid w:val="00600963"/>
    <w:rsid w:val="00602D75"/>
    <w:rsid w:val="00604FA0"/>
    <w:rsid w:val="0060686A"/>
    <w:rsid w:val="00612194"/>
    <w:rsid w:val="00617BD7"/>
    <w:rsid w:val="00617D73"/>
    <w:rsid w:val="00626266"/>
    <w:rsid w:val="006277F5"/>
    <w:rsid w:val="00627A4C"/>
    <w:rsid w:val="00630A9E"/>
    <w:rsid w:val="00631276"/>
    <w:rsid w:val="0063130E"/>
    <w:rsid w:val="00636248"/>
    <w:rsid w:val="00636860"/>
    <w:rsid w:val="006415CB"/>
    <w:rsid w:val="006424D6"/>
    <w:rsid w:val="00643F7D"/>
    <w:rsid w:val="00647E7B"/>
    <w:rsid w:val="0065225A"/>
    <w:rsid w:val="00654F17"/>
    <w:rsid w:val="00655DAF"/>
    <w:rsid w:val="006613EE"/>
    <w:rsid w:val="00665C2A"/>
    <w:rsid w:val="006722CF"/>
    <w:rsid w:val="00673EF1"/>
    <w:rsid w:val="00675EB1"/>
    <w:rsid w:val="00685873"/>
    <w:rsid w:val="00687CB2"/>
    <w:rsid w:val="006962CA"/>
    <w:rsid w:val="006A407A"/>
    <w:rsid w:val="006A47B6"/>
    <w:rsid w:val="006A5DF1"/>
    <w:rsid w:val="006A712C"/>
    <w:rsid w:val="006B20B4"/>
    <w:rsid w:val="006B2B5F"/>
    <w:rsid w:val="006B511E"/>
    <w:rsid w:val="006C103E"/>
    <w:rsid w:val="006C7E48"/>
    <w:rsid w:val="006D16AC"/>
    <w:rsid w:val="006D6EC4"/>
    <w:rsid w:val="006D7F83"/>
    <w:rsid w:val="006E0CC4"/>
    <w:rsid w:val="006E11CB"/>
    <w:rsid w:val="006E18E1"/>
    <w:rsid w:val="006E398F"/>
    <w:rsid w:val="006E548C"/>
    <w:rsid w:val="006E5C19"/>
    <w:rsid w:val="006E7250"/>
    <w:rsid w:val="006F24AA"/>
    <w:rsid w:val="006F2F56"/>
    <w:rsid w:val="006F4D84"/>
    <w:rsid w:val="006F7310"/>
    <w:rsid w:val="006F7B7A"/>
    <w:rsid w:val="00701DC7"/>
    <w:rsid w:val="0070491C"/>
    <w:rsid w:val="00705E8C"/>
    <w:rsid w:val="00710671"/>
    <w:rsid w:val="00711B5A"/>
    <w:rsid w:val="00716ECA"/>
    <w:rsid w:val="0072072C"/>
    <w:rsid w:val="00721244"/>
    <w:rsid w:val="00723233"/>
    <w:rsid w:val="00725C04"/>
    <w:rsid w:val="00726406"/>
    <w:rsid w:val="007268E2"/>
    <w:rsid w:val="00727D7B"/>
    <w:rsid w:val="00732FF1"/>
    <w:rsid w:val="007330A0"/>
    <w:rsid w:val="00734371"/>
    <w:rsid w:val="007353E7"/>
    <w:rsid w:val="00740AFE"/>
    <w:rsid w:val="00741C9B"/>
    <w:rsid w:val="00745686"/>
    <w:rsid w:val="00747C72"/>
    <w:rsid w:val="00752F51"/>
    <w:rsid w:val="00763D49"/>
    <w:rsid w:val="00766722"/>
    <w:rsid w:val="00771E54"/>
    <w:rsid w:val="007759A9"/>
    <w:rsid w:val="0078266A"/>
    <w:rsid w:val="0078274F"/>
    <w:rsid w:val="00787A68"/>
    <w:rsid w:val="00792A90"/>
    <w:rsid w:val="00795D65"/>
    <w:rsid w:val="007A0DEB"/>
    <w:rsid w:val="007A2C78"/>
    <w:rsid w:val="007A2D21"/>
    <w:rsid w:val="007B19E6"/>
    <w:rsid w:val="007B275E"/>
    <w:rsid w:val="007B5A65"/>
    <w:rsid w:val="007C3F5B"/>
    <w:rsid w:val="007C4B64"/>
    <w:rsid w:val="007C511D"/>
    <w:rsid w:val="007D2493"/>
    <w:rsid w:val="007D33F0"/>
    <w:rsid w:val="007D3FAB"/>
    <w:rsid w:val="007D4679"/>
    <w:rsid w:val="007D62D5"/>
    <w:rsid w:val="007D75AE"/>
    <w:rsid w:val="007E0FF3"/>
    <w:rsid w:val="007E5218"/>
    <w:rsid w:val="007E70D2"/>
    <w:rsid w:val="007E7F88"/>
    <w:rsid w:val="007F75F1"/>
    <w:rsid w:val="007F79E0"/>
    <w:rsid w:val="0080037D"/>
    <w:rsid w:val="00800E33"/>
    <w:rsid w:val="00800EF4"/>
    <w:rsid w:val="00803CB5"/>
    <w:rsid w:val="008040ED"/>
    <w:rsid w:val="0081453E"/>
    <w:rsid w:val="00814B03"/>
    <w:rsid w:val="00817D49"/>
    <w:rsid w:val="00823628"/>
    <w:rsid w:val="00826602"/>
    <w:rsid w:val="008305B9"/>
    <w:rsid w:val="00841202"/>
    <w:rsid w:val="00841756"/>
    <w:rsid w:val="00842172"/>
    <w:rsid w:val="0084247B"/>
    <w:rsid w:val="0084673B"/>
    <w:rsid w:val="00850F8A"/>
    <w:rsid w:val="00851668"/>
    <w:rsid w:val="00861FAF"/>
    <w:rsid w:val="00862620"/>
    <w:rsid w:val="00862AB5"/>
    <w:rsid w:val="00867189"/>
    <w:rsid w:val="00867C7B"/>
    <w:rsid w:val="008700D9"/>
    <w:rsid w:val="00877386"/>
    <w:rsid w:val="00881671"/>
    <w:rsid w:val="00884427"/>
    <w:rsid w:val="00884B3D"/>
    <w:rsid w:val="0088613E"/>
    <w:rsid w:val="00887C34"/>
    <w:rsid w:val="00891614"/>
    <w:rsid w:val="00891935"/>
    <w:rsid w:val="00897E4E"/>
    <w:rsid w:val="008A129E"/>
    <w:rsid w:val="008A2EF6"/>
    <w:rsid w:val="008A369A"/>
    <w:rsid w:val="008A7B49"/>
    <w:rsid w:val="008B12F9"/>
    <w:rsid w:val="008B350E"/>
    <w:rsid w:val="008C1F7A"/>
    <w:rsid w:val="008C2D08"/>
    <w:rsid w:val="008C303C"/>
    <w:rsid w:val="008C7188"/>
    <w:rsid w:val="008D1A82"/>
    <w:rsid w:val="008D67F7"/>
    <w:rsid w:val="008F0FA0"/>
    <w:rsid w:val="008F7A77"/>
    <w:rsid w:val="0090253E"/>
    <w:rsid w:val="00902F28"/>
    <w:rsid w:val="00910FD7"/>
    <w:rsid w:val="00913711"/>
    <w:rsid w:val="009148C5"/>
    <w:rsid w:val="009166CA"/>
    <w:rsid w:val="0091712D"/>
    <w:rsid w:val="009209E9"/>
    <w:rsid w:val="00921911"/>
    <w:rsid w:val="0092265E"/>
    <w:rsid w:val="00922D33"/>
    <w:rsid w:val="009277C9"/>
    <w:rsid w:val="00927897"/>
    <w:rsid w:val="00927FE5"/>
    <w:rsid w:val="009315D5"/>
    <w:rsid w:val="009339B7"/>
    <w:rsid w:val="00935D90"/>
    <w:rsid w:val="00942DAE"/>
    <w:rsid w:val="00942E74"/>
    <w:rsid w:val="0094470B"/>
    <w:rsid w:val="00945479"/>
    <w:rsid w:val="00954A25"/>
    <w:rsid w:val="00956A61"/>
    <w:rsid w:val="009579B2"/>
    <w:rsid w:val="009602EC"/>
    <w:rsid w:val="00963858"/>
    <w:rsid w:val="00965A57"/>
    <w:rsid w:val="00971F15"/>
    <w:rsid w:val="009757E7"/>
    <w:rsid w:val="00975A9F"/>
    <w:rsid w:val="00982207"/>
    <w:rsid w:val="00985B86"/>
    <w:rsid w:val="00986E1B"/>
    <w:rsid w:val="0099401B"/>
    <w:rsid w:val="00995686"/>
    <w:rsid w:val="009A0F47"/>
    <w:rsid w:val="009A2333"/>
    <w:rsid w:val="009A2855"/>
    <w:rsid w:val="009A2DC1"/>
    <w:rsid w:val="009A5E4A"/>
    <w:rsid w:val="009B1875"/>
    <w:rsid w:val="009B403C"/>
    <w:rsid w:val="009B42CD"/>
    <w:rsid w:val="009C02BA"/>
    <w:rsid w:val="009D04C1"/>
    <w:rsid w:val="009D24D4"/>
    <w:rsid w:val="009D5C85"/>
    <w:rsid w:val="009D613B"/>
    <w:rsid w:val="009E34C9"/>
    <w:rsid w:val="009E4271"/>
    <w:rsid w:val="009E54D1"/>
    <w:rsid w:val="009E60C1"/>
    <w:rsid w:val="009F3B4C"/>
    <w:rsid w:val="009F4EA4"/>
    <w:rsid w:val="009F5A5B"/>
    <w:rsid w:val="009F631A"/>
    <w:rsid w:val="00A02085"/>
    <w:rsid w:val="00A02B0B"/>
    <w:rsid w:val="00A06469"/>
    <w:rsid w:val="00A07158"/>
    <w:rsid w:val="00A10412"/>
    <w:rsid w:val="00A109C4"/>
    <w:rsid w:val="00A11B14"/>
    <w:rsid w:val="00A13A17"/>
    <w:rsid w:val="00A13D86"/>
    <w:rsid w:val="00A17536"/>
    <w:rsid w:val="00A21F86"/>
    <w:rsid w:val="00A2215A"/>
    <w:rsid w:val="00A22AFD"/>
    <w:rsid w:val="00A24400"/>
    <w:rsid w:val="00A27438"/>
    <w:rsid w:val="00A340F2"/>
    <w:rsid w:val="00A41AF1"/>
    <w:rsid w:val="00A42C59"/>
    <w:rsid w:val="00A43974"/>
    <w:rsid w:val="00A44EFE"/>
    <w:rsid w:val="00A50634"/>
    <w:rsid w:val="00A50A41"/>
    <w:rsid w:val="00A50A6D"/>
    <w:rsid w:val="00A53B00"/>
    <w:rsid w:val="00A573F0"/>
    <w:rsid w:val="00A57569"/>
    <w:rsid w:val="00A60903"/>
    <w:rsid w:val="00A618A3"/>
    <w:rsid w:val="00A720C6"/>
    <w:rsid w:val="00A722D2"/>
    <w:rsid w:val="00A73106"/>
    <w:rsid w:val="00A75630"/>
    <w:rsid w:val="00A81275"/>
    <w:rsid w:val="00A856E5"/>
    <w:rsid w:val="00A862EB"/>
    <w:rsid w:val="00A91158"/>
    <w:rsid w:val="00A92626"/>
    <w:rsid w:val="00A93794"/>
    <w:rsid w:val="00A94965"/>
    <w:rsid w:val="00AA2597"/>
    <w:rsid w:val="00AA577C"/>
    <w:rsid w:val="00AB092A"/>
    <w:rsid w:val="00AB18BE"/>
    <w:rsid w:val="00AB74C7"/>
    <w:rsid w:val="00AC3081"/>
    <w:rsid w:val="00AC3A3E"/>
    <w:rsid w:val="00AC5D23"/>
    <w:rsid w:val="00AD0A7E"/>
    <w:rsid w:val="00AD1C98"/>
    <w:rsid w:val="00AD2D49"/>
    <w:rsid w:val="00AD32BE"/>
    <w:rsid w:val="00AD3499"/>
    <w:rsid w:val="00AD60C8"/>
    <w:rsid w:val="00AD72C0"/>
    <w:rsid w:val="00AE31D3"/>
    <w:rsid w:val="00AE3C5D"/>
    <w:rsid w:val="00AE7B36"/>
    <w:rsid w:val="00AF1053"/>
    <w:rsid w:val="00AF55B3"/>
    <w:rsid w:val="00B01DF7"/>
    <w:rsid w:val="00B03DEF"/>
    <w:rsid w:val="00B04437"/>
    <w:rsid w:val="00B062F7"/>
    <w:rsid w:val="00B111B4"/>
    <w:rsid w:val="00B13127"/>
    <w:rsid w:val="00B164A8"/>
    <w:rsid w:val="00B20517"/>
    <w:rsid w:val="00B206E1"/>
    <w:rsid w:val="00B20AA5"/>
    <w:rsid w:val="00B25817"/>
    <w:rsid w:val="00B262E8"/>
    <w:rsid w:val="00B26B0A"/>
    <w:rsid w:val="00B32212"/>
    <w:rsid w:val="00B3376F"/>
    <w:rsid w:val="00B357C6"/>
    <w:rsid w:val="00B4052F"/>
    <w:rsid w:val="00B414C7"/>
    <w:rsid w:val="00B43871"/>
    <w:rsid w:val="00B4421E"/>
    <w:rsid w:val="00B450CE"/>
    <w:rsid w:val="00B45881"/>
    <w:rsid w:val="00B516FB"/>
    <w:rsid w:val="00B53EF1"/>
    <w:rsid w:val="00B5732E"/>
    <w:rsid w:val="00B57AF5"/>
    <w:rsid w:val="00B60953"/>
    <w:rsid w:val="00B64678"/>
    <w:rsid w:val="00B64D49"/>
    <w:rsid w:val="00B656C4"/>
    <w:rsid w:val="00B67B39"/>
    <w:rsid w:val="00B824A6"/>
    <w:rsid w:val="00B835C4"/>
    <w:rsid w:val="00B92936"/>
    <w:rsid w:val="00BA19FF"/>
    <w:rsid w:val="00BA4878"/>
    <w:rsid w:val="00BA538D"/>
    <w:rsid w:val="00BA58F2"/>
    <w:rsid w:val="00BA6261"/>
    <w:rsid w:val="00BA680C"/>
    <w:rsid w:val="00BA6A52"/>
    <w:rsid w:val="00BA6B48"/>
    <w:rsid w:val="00BA701A"/>
    <w:rsid w:val="00BB1733"/>
    <w:rsid w:val="00BB32FF"/>
    <w:rsid w:val="00BC0BFA"/>
    <w:rsid w:val="00BC10E3"/>
    <w:rsid w:val="00BC25C8"/>
    <w:rsid w:val="00BD2116"/>
    <w:rsid w:val="00BD4F7C"/>
    <w:rsid w:val="00BD6066"/>
    <w:rsid w:val="00BE0B10"/>
    <w:rsid w:val="00BE1D3D"/>
    <w:rsid w:val="00BE2627"/>
    <w:rsid w:val="00BF58C3"/>
    <w:rsid w:val="00BF6866"/>
    <w:rsid w:val="00BF74D8"/>
    <w:rsid w:val="00C025B5"/>
    <w:rsid w:val="00C11BD6"/>
    <w:rsid w:val="00C13815"/>
    <w:rsid w:val="00C14843"/>
    <w:rsid w:val="00C157C2"/>
    <w:rsid w:val="00C15B4C"/>
    <w:rsid w:val="00C2118B"/>
    <w:rsid w:val="00C26684"/>
    <w:rsid w:val="00C27D52"/>
    <w:rsid w:val="00C36D0F"/>
    <w:rsid w:val="00C40355"/>
    <w:rsid w:val="00C4067F"/>
    <w:rsid w:val="00C45A06"/>
    <w:rsid w:val="00C46215"/>
    <w:rsid w:val="00C46869"/>
    <w:rsid w:val="00C46BC9"/>
    <w:rsid w:val="00C548AE"/>
    <w:rsid w:val="00C56018"/>
    <w:rsid w:val="00C60988"/>
    <w:rsid w:val="00C610AB"/>
    <w:rsid w:val="00C66DD4"/>
    <w:rsid w:val="00C67C5E"/>
    <w:rsid w:val="00C724AC"/>
    <w:rsid w:val="00C77964"/>
    <w:rsid w:val="00C86C83"/>
    <w:rsid w:val="00C8784D"/>
    <w:rsid w:val="00C918CE"/>
    <w:rsid w:val="00C93E7B"/>
    <w:rsid w:val="00C9666F"/>
    <w:rsid w:val="00C9698B"/>
    <w:rsid w:val="00CA1FA2"/>
    <w:rsid w:val="00CA50D3"/>
    <w:rsid w:val="00CA56BD"/>
    <w:rsid w:val="00CA693F"/>
    <w:rsid w:val="00CA6A71"/>
    <w:rsid w:val="00CB0A30"/>
    <w:rsid w:val="00CB7F4F"/>
    <w:rsid w:val="00CC1405"/>
    <w:rsid w:val="00CC1EC9"/>
    <w:rsid w:val="00CC3292"/>
    <w:rsid w:val="00CC5ED2"/>
    <w:rsid w:val="00CC76E0"/>
    <w:rsid w:val="00CD189F"/>
    <w:rsid w:val="00CD3FAA"/>
    <w:rsid w:val="00CD56FA"/>
    <w:rsid w:val="00CD6AD7"/>
    <w:rsid w:val="00CD7C71"/>
    <w:rsid w:val="00CE1089"/>
    <w:rsid w:val="00CE22F5"/>
    <w:rsid w:val="00CE28AA"/>
    <w:rsid w:val="00CE44EE"/>
    <w:rsid w:val="00CE6224"/>
    <w:rsid w:val="00CE66B3"/>
    <w:rsid w:val="00CF1645"/>
    <w:rsid w:val="00CF3208"/>
    <w:rsid w:val="00D02CDC"/>
    <w:rsid w:val="00D04FE3"/>
    <w:rsid w:val="00D07924"/>
    <w:rsid w:val="00D155A7"/>
    <w:rsid w:val="00D20316"/>
    <w:rsid w:val="00D22A84"/>
    <w:rsid w:val="00D22F4E"/>
    <w:rsid w:val="00D23954"/>
    <w:rsid w:val="00D25889"/>
    <w:rsid w:val="00D2716B"/>
    <w:rsid w:val="00D32545"/>
    <w:rsid w:val="00D33B27"/>
    <w:rsid w:val="00D35029"/>
    <w:rsid w:val="00D409B4"/>
    <w:rsid w:val="00D40A82"/>
    <w:rsid w:val="00D508C5"/>
    <w:rsid w:val="00D508EF"/>
    <w:rsid w:val="00D551E6"/>
    <w:rsid w:val="00D567FA"/>
    <w:rsid w:val="00D5710C"/>
    <w:rsid w:val="00D601E7"/>
    <w:rsid w:val="00D60D7C"/>
    <w:rsid w:val="00D61792"/>
    <w:rsid w:val="00D63AA3"/>
    <w:rsid w:val="00D67DD3"/>
    <w:rsid w:val="00D771E9"/>
    <w:rsid w:val="00D811B4"/>
    <w:rsid w:val="00D82C18"/>
    <w:rsid w:val="00D838DB"/>
    <w:rsid w:val="00D8778D"/>
    <w:rsid w:val="00D975F4"/>
    <w:rsid w:val="00DA33F6"/>
    <w:rsid w:val="00DA3F0C"/>
    <w:rsid w:val="00DA667E"/>
    <w:rsid w:val="00DB0C1A"/>
    <w:rsid w:val="00DB44DC"/>
    <w:rsid w:val="00DB4F35"/>
    <w:rsid w:val="00DC00EA"/>
    <w:rsid w:val="00DE11CF"/>
    <w:rsid w:val="00DE2ED8"/>
    <w:rsid w:val="00DF1AC2"/>
    <w:rsid w:val="00DF20C1"/>
    <w:rsid w:val="00DF24CE"/>
    <w:rsid w:val="00DF26DC"/>
    <w:rsid w:val="00DF33D2"/>
    <w:rsid w:val="00DF5B4D"/>
    <w:rsid w:val="00DF69A3"/>
    <w:rsid w:val="00DF77B3"/>
    <w:rsid w:val="00E00127"/>
    <w:rsid w:val="00E00D25"/>
    <w:rsid w:val="00E016BB"/>
    <w:rsid w:val="00E02C5F"/>
    <w:rsid w:val="00E04FF8"/>
    <w:rsid w:val="00E11F09"/>
    <w:rsid w:val="00E15178"/>
    <w:rsid w:val="00E2016E"/>
    <w:rsid w:val="00E202F5"/>
    <w:rsid w:val="00E20783"/>
    <w:rsid w:val="00E21DB8"/>
    <w:rsid w:val="00E23F87"/>
    <w:rsid w:val="00E2583B"/>
    <w:rsid w:val="00E30512"/>
    <w:rsid w:val="00E31580"/>
    <w:rsid w:val="00E317F1"/>
    <w:rsid w:val="00E32742"/>
    <w:rsid w:val="00E37659"/>
    <w:rsid w:val="00E406CC"/>
    <w:rsid w:val="00E41F14"/>
    <w:rsid w:val="00E43B98"/>
    <w:rsid w:val="00E502D6"/>
    <w:rsid w:val="00E52A05"/>
    <w:rsid w:val="00E5468A"/>
    <w:rsid w:val="00E560B0"/>
    <w:rsid w:val="00E60703"/>
    <w:rsid w:val="00E613F4"/>
    <w:rsid w:val="00E61CDA"/>
    <w:rsid w:val="00E71E21"/>
    <w:rsid w:val="00E7252D"/>
    <w:rsid w:val="00E731B5"/>
    <w:rsid w:val="00E7322D"/>
    <w:rsid w:val="00E74E68"/>
    <w:rsid w:val="00E81179"/>
    <w:rsid w:val="00E86D0C"/>
    <w:rsid w:val="00E947DA"/>
    <w:rsid w:val="00EA0BE7"/>
    <w:rsid w:val="00EA3C68"/>
    <w:rsid w:val="00EA60B2"/>
    <w:rsid w:val="00EB0886"/>
    <w:rsid w:val="00EB15AA"/>
    <w:rsid w:val="00EB1E0C"/>
    <w:rsid w:val="00EB2987"/>
    <w:rsid w:val="00EC129B"/>
    <w:rsid w:val="00EC40CB"/>
    <w:rsid w:val="00EC664D"/>
    <w:rsid w:val="00ED04C3"/>
    <w:rsid w:val="00ED46EC"/>
    <w:rsid w:val="00ED4863"/>
    <w:rsid w:val="00ED753A"/>
    <w:rsid w:val="00EE25C8"/>
    <w:rsid w:val="00EE2DBF"/>
    <w:rsid w:val="00EE4D0A"/>
    <w:rsid w:val="00EE5202"/>
    <w:rsid w:val="00EE5EE0"/>
    <w:rsid w:val="00EF3504"/>
    <w:rsid w:val="00EF3646"/>
    <w:rsid w:val="00EF560E"/>
    <w:rsid w:val="00EF6EA6"/>
    <w:rsid w:val="00F02461"/>
    <w:rsid w:val="00F02A23"/>
    <w:rsid w:val="00F043C2"/>
    <w:rsid w:val="00F0552C"/>
    <w:rsid w:val="00F100A2"/>
    <w:rsid w:val="00F16A83"/>
    <w:rsid w:val="00F202E1"/>
    <w:rsid w:val="00F221D9"/>
    <w:rsid w:val="00F264ED"/>
    <w:rsid w:val="00F37754"/>
    <w:rsid w:val="00F45439"/>
    <w:rsid w:val="00F462D5"/>
    <w:rsid w:val="00F5189F"/>
    <w:rsid w:val="00F605A7"/>
    <w:rsid w:val="00F614BE"/>
    <w:rsid w:val="00F6247E"/>
    <w:rsid w:val="00F66CEE"/>
    <w:rsid w:val="00F67CEC"/>
    <w:rsid w:val="00F7059C"/>
    <w:rsid w:val="00F705B1"/>
    <w:rsid w:val="00F70FA1"/>
    <w:rsid w:val="00F72B2B"/>
    <w:rsid w:val="00F74AC0"/>
    <w:rsid w:val="00F82D97"/>
    <w:rsid w:val="00F83CD8"/>
    <w:rsid w:val="00F860C0"/>
    <w:rsid w:val="00F8698D"/>
    <w:rsid w:val="00F92984"/>
    <w:rsid w:val="00F9335B"/>
    <w:rsid w:val="00F9375C"/>
    <w:rsid w:val="00F953C4"/>
    <w:rsid w:val="00FA25A9"/>
    <w:rsid w:val="00FA7953"/>
    <w:rsid w:val="00FA7E49"/>
    <w:rsid w:val="00FB0339"/>
    <w:rsid w:val="00FB2BEA"/>
    <w:rsid w:val="00FB5AC0"/>
    <w:rsid w:val="00FB6654"/>
    <w:rsid w:val="00FC0971"/>
    <w:rsid w:val="00FC3B4B"/>
    <w:rsid w:val="00FC3DB9"/>
    <w:rsid w:val="00FC3EC3"/>
    <w:rsid w:val="00FC62E5"/>
    <w:rsid w:val="00FC6773"/>
    <w:rsid w:val="00FD1C0D"/>
    <w:rsid w:val="00FD503E"/>
    <w:rsid w:val="00FE0C20"/>
    <w:rsid w:val="00FE2DCF"/>
    <w:rsid w:val="00FE65F2"/>
    <w:rsid w:val="00FF0D14"/>
    <w:rsid w:val="00FF587B"/>
    <w:rsid w:val="19333DAC"/>
    <w:rsid w:val="1B1C0BA5"/>
    <w:rsid w:val="22260049"/>
    <w:rsid w:val="54A6449A"/>
    <w:rsid w:val="788549BC"/>
    <w:rsid w:val="78863CE7"/>
    <w:rsid w:val="7B60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24248f" focussize="0,0"/>
      <v:stroke weight="1pt" color="#993300" dashstyle="1 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360" w:lineRule="auto"/>
      <w:ind w:firstLine="630" w:firstLineChars="300"/>
    </w:pPr>
    <w:rPr>
      <w:rFonts w:ascii="仿宋_GB2312" w:hAnsi="宋体" w:eastAsia="仿宋_GB2312"/>
    </w:rPr>
  </w:style>
  <w:style w:type="paragraph" w:styleId="3">
    <w:name w:val="Balloon Text"/>
    <w:basedOn w:val="1"/>
    <w:link w:val="2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kern w:val="0"/>
      <w:sz w:val="18"/>
      <w:szCs w:val="18"/>
    </w:rPr>
  </w:style>
  <w:style w:type="character" w:styleId="8">
    <w:name w:val="Strong"/>
    <w:qFormat/>
    <w:uiPriority w:val="22"/>
    <w:rPr>
      <w:b/>
      <w:bCs/>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bigstyle4"/>
    <w:basedOn w:val="7"/>
    <w:qFormat/>
    <w:uiPriority w:val="0"/>
  </w:style>
  <w:style w:type="paragraph" w:customStyle="1" w:styleId="1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9">
    <w:name w:val="样式 四号 加粗 自定义颜(RGB(45102145)) 下划线 图案: 15% (自动设置 前景 白色 背景)"/>
    <w:qFormat/>
    <w:uiPriority w:val="0"/>
    <w:rPr>
      <w:b/>
      <w:bCs/>
      <w:color w:val="FFFFFF"/>
      <w:spacing w:val="28"/>
      <w:sz w:val="28"/>
      <w:szCs w:val="28"/>
      <w:u w:val="single"/>
    </w:rPr>
  </w:style>
  <w:style w:type="paragraph" w:customStyle="1" w:styleId="20">
    <w:name w:val="Char Char Char Char1"/>
    <w:basedOn w:val="1"/>
    <w:qFormat/>
    <w:uiPriority w:val="0"/>
    <w:pPr>
      <w:widowControl/>
      <w:spacing w:after="160" w:line="240" w:lineRule="exact"/>
      <w:jc w:val="left"/>
    </w:pPr>
    <w:rPr>
      <w:szCs w:val="20"/>
    </w:rPr>
  </w:style>
  <w:style w:type="paragraph" w:customStyle="1" w:styleId="21">
    <w:name w:val="p1"/>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22">
    <w:name w:val="批注框文本 Char"/>
    <w:basedOn w:val="7"/>
    <w:link w:val="3"/>
    <w:qFormat/>
    <w:uiPriority w:val="0"/>
    <w:rPr>
      <w:kern w:val="2"/>
      <w:sz w:val="18"/>
      <w:szCs w:val="18"/>
    </w:rPr>
  </w:style>
  <w:style w:type="paragraph" w:styleId="23">
    <w:name w:val="List Paragraph"/>
    <w:basedOn w:val="1"/>
    <w:qFormat/>
    <w:uiPriority w:val="34"/>
    <w:pPr>
      <w:ind w:firstLine="420" w:firstLineChars="200"/>
    </w:pPr>
  </w:style>
  <w:style w:type="paragraph" w:customStyle="1" w:styleId="24">
    <w:name w:val="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
    <w:name w:val="Normal_2"/>
    <w:basedOn w:val="1"/>
    <w:qFormat/>
    <w:uiPriority w:val="0"/>
    <w:pPr>
      <w:spacing w:line="3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D3CC5-F2A1-4394-AF78-6189FCC12F61}">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440</Words>
  <Characters>2512</Characters>
  <Lines>20</Lines>
  <Paragraphs>5</Paragraphs>
  <TotalTime>420</TotalTime>
  <ScaleCrop>false</ScaleCrop>
  <LinksUpToDate>false</LinksUpToDate>
  <CharactersWithSpaces>2947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2014-12-01T08:48:00Z</dcterms:created>
  <dc:creator>帕迪咨询</dc:creator>
  <cp:lastModifiedBy>pc</cp:lastModifiedBy>
  <cp:lastPrinted>2007-07-25T08:25:00Z</cp:lastPrinted>
  <dcterms:modified xsi:type="dcterms:W3CDTF">2018-12-17T03:37:45Z</dcterms:modified>
  <dc:title>帕迪课程</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