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4A4CA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</w:rPr>
        <w:t>​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风险防范与财富管理线下公开课</w:t>
      </w:r>
    </w:p>
    <w:p w14:paraId="6228E59D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bookmarkStart w:id="0" w:name="_GoBack"/>
      <w:bookmarkEnd w:id="0"/>
    </w:p>
    <w:p w14:paraId="5D5F5C2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地点:浙江省·杭州市</w:t>
      </w:r>
    </w:p>
    <w:p w14:paraId="1FAAE91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1351E07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4556760" cy="5924550"/>
            <wp:effectExtent l="0" t="0" r="15240" b="0"/>
            <wp:docPr id="2" name="图片 1" descr="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12.jp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56760" cy="5924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20A83B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5C161800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与10000位企业家同行</w:t>
      </w:r>
    </w:p>
    <w:p w14:paraId="2C712B2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规避风险 迎势增长</w:t>
      </w:r>
    </w:p>
    <w:p w14:paraId="41F699E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4EC1235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新形势下，中国民营企业面临诸多挑战:新公司法正式施行，老板、股东最大风险的时代来临!金税四期全面铺开，7大数据全面打通，正式进入自动预警的稽查时代!如何防范和化解企业中潜在的法律与税务风险，保护企业与自身资产安全，守护财富?量子教育特邀北京市高级人民法院前法官常亮、10余年税务稽查经验韩丽娟老师带来两天企业家线下大课，帮助企业合理规避风险，实现利润倍增!</w:t>
      </w:r>
    </w:p>
    <w:p w14:paraId="0AB5918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68C3E26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老师简介</w:t>
      </w:r>
    </w:p>
    <w:p w14:paraId="02269B5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5143500" cy="6667500"/>
            <wp:effectExtent l="0" t="0" r="0" b="0"/>
            <wp:docPr id="1" name="图片 2" descr="1731068540445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731068540445 (1)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6667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3A1355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韩丽娟</w:t>
      </w:r>
    </w:p>
    <w:p w14:paraId="12B3975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曾任世界500强财务总监</w:t>
      </w:r>
    </w:p>
    <w:p w14:paraId="04810C8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中国注册会计师、高级纳税筹划师</w:t>
      </w:r>
    </w:p>
    <w:p w14:paraId="03C8FBE0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10年+税务稽查经验、30年+财税筹划经验</w:t>
      </w:r>
    </w:p>
    <w:p w14:paraId="7637890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用财务手段为企业增值破10亿+</w:t>
      </w:r>
    </w:p>
    <w:p w14:paraId="3E147FDD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帮助1000多家企业利润提升20%以上</w:t>
      </w:r>
    </w:p>
    <w:p w14:paraId="5460B86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累计为全国各地6000多家企业提供财税及筹划服务</w:t>
      </w:r>
    </w:p>
    <w:p w14:paraId="2B44BD3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5BB0178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常亮</w:t>
      </w:r>
    </w:p>
    <w:p w14:paraId="7810BC1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曾任北京市高级人民法院法官</w:t>
      </w:r>
    </w:p>
    <w:p w14:paraId="7B88FFC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曾任上市公司法务总监</w:t>
      </w:r>
    </w:p>
    <w:p w14:paraId="7A0256F4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中央电视台《经济与法》嘉宾律师</w:t>
      </w:r>
    </w:p>
    <w:p w14:paraId="20F4BB5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擅长处理重大复杂诉讼案件，案件整体胜诉率99%</w:t>
      </w:r>
    </w:p>
    <w:p w14:paraId="5266B20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服务多家500强企业 为客户挽回经济损失数十亿元</w:t>
      </w:r>
    </w:p>
    <w:p w14:paraId="6CACCAC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著有《创业必备法律知识及案例精解》</w:t>
      </w:r>
    </w:p>
    <w:p w14:paraId="10683A9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《公司法理解适用与案例指引》《动态股权》</w:t>
      </w:r>
    </w:p>
    <w:p w14:paraId="78AEB86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《股权纠纷101问》等</w:t>
      </w:r>
    </w:p>
    <w:p w14:paraId="31F4C7B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0104F26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课程亮点</w:t>
      </w:r>
    </w:p>
    <w:p w14:paraId="0F23B41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新公司法下十大风险及应对</w:t>
      </w:r>
    </w:p>
    <w:p w14:paraId="2F80C3F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案例解析:真实案件深度剖析，增强抗风险能力</w:t>
      </w:r>
    </w:p>
    <w:p w14:paraId="1DAC0FA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风险防范:快速构建法律隔离带以及风险防火墙</w:t>
      </w:r>
    </w:p>
    <w:p w14:paraId="6E8A4E7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财富保障:保障老板财富安全，为企业保驾护航</w:t>
      </w:r>
    </w:p>
    <w:p w14:paraId="39966928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6194435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破解2025年企业财税难题</w:t>
      </w:r>
    </w:p>
    <w:p w14:paraId="7A81B8F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风险防范:深度解析最新税法改革，识别规避税务风险</w:t>
      </w:r>
    </w:p>
    <w:p w14:paraId="1DFD353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顶层设计:掌握税务筹划底层逻辑，搭建财税顶层架构</w:t>
      </w:r>
    </w:p>
    <w:p w14:paraId="775F2FE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实战解析:大量实战原理案例解析，保障老板/家庭安全</w:t>
      </w:r>
    </w:p>
    <w:p w14:paraId="66BC4EF4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4402319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课程大纲</w:t>
      </w:r>
    </w:p>
    <w:p w14:paraId="7CB9AEA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第一部分 防范企业经营中的法律风险</w:t>
      </w:r>
    </w:p>
    <w:p w14:paraId="6F01CE08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股权结构不合理的3大危局</w:t>
      </w:r>
    </w:p>
    <w:p w14:paraId="00FB9BC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掌握公司控制权的6大锦囊</w:t>
      </w:r>
    </w:p>
    <w:p w14:paraId="22C91EE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股权纠纷的应对办法</w:t>
      </w:r>
    </w:p>
    <w:p w14:paraId="1EA2F308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新公司法出台，如何做好风险隔离?</w:t>
      </w:r>
    </w:p>
    <w:p w14:paraId="0EA62B2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股权买卖/转让如何掌握主动权?</w:t>
      </w:r>
    </w:p>
    <w:p w14:paraId="699C54C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企业家刑事雷区如何规避?</w:t>
      </w:r>
    </w:p>
    <w:p w14:paraId="13CEF3A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民间借贷的「两证三年」</w:t>
      </w:r>
    </w:p>
    <w:p w14:paraId="0862BC3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2A9EA17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第二部分 控制企业经营中的财税风险</w:t>
      </w:r>
    </w:p>
    <w:p w14:paraId="09413CC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规避企业常见的的16类税务风险</w:t>
      </w:r>
    </w:p>
    <w:p w14:paraId="650FB75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完善税务管理系统的5大步骤</w:t>
      </w:r>
    </w:p>
    <w:p w14:paraId="11D5200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股权转让的8种税务筹划方案</w:t>
      </w:r>
    </w:p>
    <w:p w14:paraId="27B6BB9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安全有效的节税规划方案</w:t>
      </w:r>
    </w:p>
    <w:p w14:paraId="1121FAC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家族控股公司、家族传承的架构设计</w:t>
      </w:r>
    </w:p>
    <w:p w14:paraId="42E55790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顶层架构设计的5大维度</w:t>
      </w:r>
    </w:p>
    <w:p w14:paraId="4F454E7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合法节税:重构业务模式的4个方向</w:t>
      </w:r>
    </w:p>
    <w:p w14:paraId="674D1A8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0D5F42E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精彩回顾</w:t>
      </w:r>
    </w:p>
    <w:p w14:paraId="52091ED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5382260" cy="3237230"/>
            <wp:effectExtent l="0" t="0" r="8890" b="1270"/>
            <wp:docPr id="3" name="图片 3" descr="1731068079459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31068079459 (1)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82260" cy="32372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3A14C2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适合人群</w:t>
      </w:r>
    </w:p>
    <w:p w14:paraId="1D13BFE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有法律风险的老板、股东、高管</w:t>
      </w:r>
    </w:p>
    <w:p w14:paraId="52BFD17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总经理等企业核心高管</w:t>
      </w:r>
    </w:p>
    <w:p w14:paraId="7246DD9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经营成本过高、有税务稽查风险的老板</w:t>
      </w:r>
    </w:p>
    <w:p w14:paraId="007A125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企业需要转型、探寻新增长点的老板</w:t>
      </w:r>
    </w:p>
    <w:p w14:paraId="10AB767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0A96716B"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6A938FA"/>
    <w:rsid w:val="46A9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2024-11-08T12:25:00Z</dcterms:created>
  <dc:creator>冰冰⊙▽⊙＊</dc:creator>
  <cp:lastModifiedBy>冰冰⊙▽⊙＊</cp:lastModifiedBy>
  <dcterms:modified xsi:type="dcterms:W3CDTF">2024-11-08T12:26:03Z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F0A58E1A2B284228928C27AC96913B5C_11</vt:lpwstr>
  </property>
</Properties>
</file>