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media/image2.webp" ContentType="image/webp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AD63A9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240" w:lineRule="auto"/>
        <w:ind w:left="0" w:right="0"/>
        <w:jc w:val="center"/>
        <w:rPr>
          <w:rFonts w:hint="eastAsia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王晓毅《道德经》</w:t>
      </w:r>
    </w:p>
    <w:p w14:paraId="6DE3CCE3">
      <w:pPr>
        <w:keepNext w:val="0"/>
        <w:keepLines w:val="0"/>
        <w:widowControl/>
        <w:suppressLineNumbers w:val="0"/>
        <w:pBdr>
          <w:bottom w:val="none" w:color="auto" w:sz="0" w:space="0"/>
        </w:pBdr>
        <w:wordWrap/>
        <w:spacing w:before="0" w:beforeAutospacing="0" w:after="0" w:afterAutospacing="0" w:line="19" w:lineRule="atLeast"/>
        <w:ind w:left="0" w:right="0"/>
        <w:jc w:val="left"/>
        <w:rPr>
          <w:color w:val="666666"/>
        </w:rPr>
      </w:pPr>
      <w:r>
        <w:rPr>
          <w:rFonts w:ascii="宋体" w:hAnsi="宋体" w:eastAsia="宋体" w:cs="宋体"/>
          <w:color w:val="666666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3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D83F5CD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240" w:lineRule="auto"/>
        <w:ind w:left="0" w:right="0"/>
        <w:jc w:val="left"/>
      </w:pPr>
    </w:p>
    <w:p w14:paraId="0D38B833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right="0" w:firstLine="420" w:firstLineChars="200"/>
        <w:jc w:val="left"/>
        <w:rPr>
          <w:rFonts w:hint="eastAsia"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666666"/>
          <w:sz w:val="21"/>
          <w:szCs w:val="21"/>
        </w:rPr>
        <w:t>现今的许多经管书籍都会告诉我们很多经营决策的办法，这些办法都很合理，但是还是有其不足之处，他们大多强调积极的人事管理的意义，但是却忽略了另外一个重要的方面，而《道德经》这本古老的中华典籍之中则蕴藏了经营管理的精髓，恰恰弥补了现今经管思想的缺陷，值得我们认真学习。</w:t>
      </w:r>
    </w:p>
    <w:p w14:paraId="3D039D10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 w:firstLine="420" w:firstLineChars="200"/>
        <w:jc w:val="left"/>
        <w:rPr>
          <w:rFonts w:hint="eastAsia" w:ascii="微软雅黑" w:hAnsi="微软雅黑" w:eastAsia="微软雅黑" w:cs="微软雅黑"/>
          <w:color w:val="666666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666666"/>
          <w:sz w:val="21"/>
          <w:szCs w:val="21"/>
        </w:rPr>
        <w:t>从老子的《道德经》中我们可以看到，好的经营管理者并不会一味积极主动地介入公司的大小事务之中，反之，“放手”是一个更为重要的过程，它不是被动的放手而是主动的放手，这种“放手”营造出了舒适自由的企业文化，给新人以足够的成长空间，为企业的长足发展带来了无限的可能性，这就是古老的中华典籍教给我们的智慧。</w:t>
      </w:r>
    </w:p>
    <w:p w14:paraId="47E47E14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 w:firstLine="420" w:firstLineChars="200"/>
        <w:jc w:val="left"/>
        <w:rPr>
          <w:rFonts w:hint="eastAsia" w:ascii="微软雅黑" w:hAnsi="微软雅黑" w:eastAsia="微软雅黑" w:cs="微软雅黑"/>
          <w:color w:val="666666"/>
          <w:sz w:val="21"/>
          <w:szCs w:val="21"/>
        </w:rPr>
      </w:pPr>
    </w:p>
    <w:p w14:paraId="53A2A991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color w:val="FF0000"/>
          <w:sz w:val="21"/>
          <w:szCs w:val="21"/>
        </w:rPr>
        <w:t>清华大学人文学院教授王晓毅老师主讲《道德经》课程，学习老子“内圣外王”之道。</w:t>
      </w:r>
    </w:p>
    <w:p w14:paraId="7F519CEF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240" w:lineRule="auto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</w:p>
    <w:p w14:paraId="01D5EC30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color w:val="CC0000"/>
          <w:sz w:val="21"/>
          <w:szCs w:val="21"/>
          <w:shd w:val="clear" w:fill="FFFFFF"/>
        </w:rPr>
        <w:t>【名师简介】</w:t>
      </w:r>
    </w:p>
    <w:p w14:paraId="29C46FE9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</w:p>
    <w:tbl>
      <w:tblPr>
        <w:tblStyle w:val="3"/>
        <w:tblpPr w:vertAnchor="text" w:tblpXSpec="left"/>
        <w:tblW w:w="5760" w:type="dxa"/>
        <w:tblInd w:w="0" w:type="dxa"/>
        <w:tblBorders>
          <w:top w:val="single" w:color="FFFFFF" w:sz="4" w:space="0"/>
          <w:left w:val="single" w:color="FFFFFF" w:sz="4" w:space="0"/>
          <w:bottom w:val="single" w:color="FFFFFF" w:sz="4" w:space="0"/>
          <w:right w:val="single" w:color="FFFFFF" w:sz="4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904"/>
        <w:gridCol w:w="2856"/>
      </w:tblGrid>
      <w:tr w14:paraId="69FE8E5B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65" w:type="pct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auto" w:fill="auto"/>
            <w:tcMar>
              <w:top w:w="0" w:type="dxa"/>
              <w:left w:w="36" w:type="dxa"/>
              <w:bottom w:w="0" w:type="dxa"/>
              <w:right w:w="36" w:type="dxa"/>
            </w:tcMar>
            <w:vAlign w:val="top"/>
          </w:tcPr>
          <w:p w14:paraId="4AB22EF3">
            <w:pPr>
              <w:keepNext w:val="0"/>
              <w:keepLines w:val="0"/>
              <w:widowControl/>
              <w:suppressLineNumbers w:val="0"/>
              <w:wordWrap/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shd w:val="clear" w:fill="FFFFFF"/>
                <w:lang w:val="en-US" w:eastAsia="zh-CN" w:bidi="ar"/>
              </w:rPr>
              <w:drawing>
                <wp:inline distT="0" distB="0" distL="114300" distR="114300">
                  <wp:extent cx="1790700" cy="1771650"/>
                  <wp:effectExtent l="0" t="0" r="7620" b="11430"/>
                  <wp:docPr id="4" name="图片 4" descr="IMG_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58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0700" cy="1771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35" w:type="pct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auto" w:fill="auto"/>
            <w:tcMar>
              <w:top w:w="0" w:type="dxa"/>
              <w:left w:w="36" w:type="dxa"/>
              <w:bottom w:w="0" w:type="dxa"/>
              <w:right w:w="36" w:type="dxa"/>
            </w:tcMar>
            <w:vAlign w:val="top"/>
          </w:tcPr>
          <w:p w14:paraId="53EB1CBF">
            <w:pPr>
              <w:pStyle w:val="2"/>
              <w:keepNext w:val="0"/>
              <w:keepLines w:val="0"/>
              <w:widowControl/>
              <w:suppressLineNumbers w:val="0"/>
              <w:shd w:val="clear" w:fill="FFFFFF"/>
              <w:wordWrap/>
              <w:spacing w:before="0" w:beforeAutospacing="0" w:after="0" w:afterAutospacing="0" w:line="42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color w:val="333333"/>
                <w:sz w:val="21"/>
                <w:szCs w:val="21"/>
                <w:shd w:val="clear" w:fill="FFFFFF"/>
              </w:rPr>
              <w:t>王晓毅</w:t>
            </w:r>
          </w:p>
          <w:p w14:paraId="1351CECE">
            <w:pPr>
              <w:pStyle w:val="2"/>
              <w:keepNext w:val="0"/>
              <w:keepLines w:val="0"/>
              <w:widowControl/>
              <w:suppressLineNumbers w:val="0"/>
              <w:shd w:val="clear" w:fill="FFFFFF"/>
              <w:wordWrap/>
              <w:spacing w:before="0" w:beforeAutospacing="0" w:after="0" w:afterAutospacing="0" w:line="42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  <w:shd w:val="clear" w:fill="FFFFFF"/>
              </w:rPr>
              <w:t>●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shd w:val="clear" w:fill="FFFFFF"/>
              </w:rPr>
              <w:t>现任清华大学人文学院教授</w:t>
            </w:r>
          </w:p>
          <w:p w14:paraId="463A9409">
            <w:pPr>
              <w:pStyle w:val="2"/>
              <w:keepNext w:val="0"/>
              <w:keepLines w:val="0"/>
              <w:widowControl/>
              <w:suppressLineNumbers w:val="0"/>
              <w:shd w:val="clear" w:fill="FFFFFF"/>
              <w:wordWrap/>
              <w:spacing w:before="0" w:beforeAutospacing="0" w:after="0" w:afterAutospacing="0" w:line="357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  <w:shd w:val="clear" w:fill="FFFFFF"/>
              </w:rPr>
              <w:t>●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shd w:val="clear" w:fill="FFFFFF"/>
              </w:rPr>
              <w:t>中国思想史专业博士生导师</w:t>
            </w:r>
          </w:p>
        </w:tc>
      </w:tr>
    </w:tbl>
    <w:p w14:paraId="725456B3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</w:p>
    <w:p w14:paraId="59569D61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</w:p>
    <w:p w14:paraId="19AEE684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color w:val="666666"/>
          <w:sz w:val="21"/>
          <w:szCs w:val="21"/>
        </w:rPr>
      </w:pPr>
    </w:p>
    <w:p w14:paraId="1E9C4257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color w:val="666666"/>
          <w:sz w:val="21"/>
          <w:szCs w:val="21"/>
        </w:rPr>
      </w:pPr>
    </w:p>
    <w:p w14:paraId="293E15E7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color w:val="666666"/>
          <w:sz w:val="21"/>
          <w:szCs w:val="21"/>
        </w:rPr>
      </w:pPr>
    </w:p>
    <w:p w14:paraId="3BCE1350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  <w:bookmarkStart w:id="0" w:name="_GoBack"/>
      <w:r>
        <w:rPr>
          <w:rFonts w:hint="eastAsia" w:ascii="微软雅黑" w:hAnsi="微软雅黑" w:eastAsia="微软雅黑" w:cs="微软雅黑"/>
          <w:color w:val="666666"/>
          <w:sz w:val="21"/>
          <w:szCs w:val="21"/>
        </w:rPr>
        <w:t>1954年生，历史学博士。在道家思想、玄学与周易、三国历史文化等研究领域出版9部著作，发表论文百余篇，两次获省部级优秀社会科学成果一等奖，并获国务院 “政府特殊津贴”。</w:t>
      </w:r>
    </w:p>
    <w:p w14:paraId="3C288DE8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</w:p>
    <w:p w14:paraId="248CE5E4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color w:val="CC0000"/>
          <w:kern w:val="0"/>
          <w:sz w:val="21"/>
          <w:szCs w:val="21"/>
          <w:shd w:val="clear" w:fill="FFFFFF"/>
          <w:lang w:val="en-US" w:eastAsia="zh-CN" w:bidi="ar"/>
        </w:rPr>
        <w:t>【课程大纲】</w:t>
      </w:r>
    </w:p>
    <w:p w14:paraId="7FC862C4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color w:val="333333"/>
          <w:sz w:val="21"/>
          <w:szCs w:val="21"/>
        </w:rPr>
        <w:t>一、道德经的智慧</w:t>
      </w:r>
      <w:r>
        <w:rPr>
          <w:rFonts w:hint="eastAsia" w:ascii="微软雅黑" w:hAnsi="微软雅黑" w:eastAsia="微软雅黑" w:cs="微软雅黑"/>
          <w:color w:val="666666"/>
          <w:sz w:val="21"/>
          <w:szCs w:val="21"/>
        </w:rPr>
        <w:br w:type="textWrapping"/>
      </w:r>
      <w:r>
        <w:rPr>
          <w:rFonts w:hint="eastAsia" w:ascii="微软雅黑" w:hAnsi="微软雅黑" w:eastAsia="微软雅黑" w:cs="微软雅黑"/>
          <w:color w:val="666666"/>
          <w:sz w:val="21"/>
          <w:szCs w:val="21"/>
        </w:rPr>
        <w:t>01 道</w:t>
      </w:r>
      <w:r>
        <w:rPr>
          <w:rFonts w:hint="eastAsia" w:ascii="微软雅黑" w:hAnsi="微软雅黑" w:eastAsia="微软雅黑" w:cs="微软雅黑"/>
          <w:color w:val="666666"/>
          <w:sz w:val="21"/>
          <w:szCs w:val="21"/>
        </w:rPr>
        <w:br w:type="textWrapping"/>
      </w:r>
      <w:r>
        <w:rPr>
          <w:rFonts w:hint="eastAsia" w:ascii="微软雅黑" w:hAnsi="微软雅黑" w:eastAsia="微软雅黑" w:cs="微软雅黑"/>
          <w:color w:val="666666"/>
          <w:sz w:val="21"/>
          <w:szCs w:val="21"/>
        </w:rPr>
        <w:t>02 自然</w:t>
      </w:r>
      <w:r>
        <w:rPr>
          <w:rFonts w:hint="eastAsia" w:ascii="微软雅黑" w:hAnsi="微软雅黑" w:eastAsia="微软雅黑" w:cs="微软雅黑"/>
          <w:color w:val="666666"/>
          <w:sz w:val="21"/>
          <w:szCs w:val="21"/>
        </w:rPr>
        <w:br w:type="textWrapping"/>
      </w:r>
      <w:r>
        <w:rPr>
          <w:rFonts w:hint="eastAsia" w:ascii="微软雅黑" w:hAnsi="微软雅黑" w:eastAsia="微软雅黑" w:cs="微软雅黑"/>
          <w:color w:val="666666"/>
          <w:sz w:val="21"/>
          <w:szCs w:val="21"/>
        </w:rPr>
        <w:t>03 无为</w:t>
      </w:r>
    </w:p>
    <w:p w14:paraId="5B5098B5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240" w:lineRule="auto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</w:p>
    <w:p w14:paraId="1FA682ED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color w:val="333333"/>
          <w:sz w:val="21"/>
          <w:szCs w:val="21"/>
        </w:rPr>
        <w:t>二、《道德经》智慧的发展</w:t>
      </w:r>
    </w:p>
    <w:p w14:paraId="3A54BF6F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666666"/>
          <w:sz w:val="21"/>
          <w:szCs w:val="21"/>
        </w:rPr>
        <w:t>01 黄老外王“因循”之道</w:t>
      </w:r>
    </w:p>
    <w:p w14:paraId="0065A221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19" w:lineRule="atLeast"/>
        <w:ind w:left="0" w:right="0"/>
        <w:jc w:val="left"/>
        <w:rPr>
          <w:rFonts w:hint="eastAsia"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666666"/>
          <w:sz w:val="21"/>
          <w:szCs w:val="21"/>
        </w:rPr>
        <w:t>02 庄玄内圣“逍遥”之道</w:t>
      </w:r>
    </w:p>
    <w:bookmarkEnd w:id="0"/>
    <w:p w14:paraId="7C5A52E2">
      <w:pPr>
        <w:pStyle w:val="2"/>
        <w:keepNext w:val="0"/>
        <w:keepLines w:val="0"/>
        <w:widowControl/>
        <w:suppressLineNumbers w:val="0"/>
        <w:wordWrap/>
        <w:spacing w:before="0" w:beforeAutospacing="0" w:after="0" w:afterAutospacing="0" w:line="240" w:lineRule="auto"/>
        <w:ind w:left="0" w:right="0"/>
        <w:jc w:val="left"/>
        <w:rPr>
          <w:sz w:val="21"/>
          <w:szCs w:val="21"/>
        </w:rPr>
      </w:pPr>
    </w:p>
    <w:p w14:paraId="50F67B9B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4C4C4C" w:sz="0" w:space="0"/>
          <w:left w:val="none" w:color="4C4C4C" w:sz="0" w:space="0"/>
          <w:bottom w:val="none" w:color="4C4C4C" w:sz="0" w:space="0"/>
          <w:right w:val="none" w:color="4C4C4C" w:sz="0" w:space="0"/>
        </w:pBdr>
        <w:spacing w:before="0" w:beforeAutospacing="0" w:after="0" w:afterAutospacing="0"/>
        <w:ind w:left="-360" w:leftChars="0" w:right="0" w:rightChars="0"/>
        <w:jc w:val="both"/>
        <w:rPr>
          <w:b/>
          <w:bCs/>
          <w:color w:val="4C4C4C"/>
          <w:sz w:val="21"/>
          <w:szCs w:val="21"/>
        </w:rPr>
      </w:pPr>
    </w:p>
    <w:p w14:paraId="7C1E9EE4">
      <w:pPr>
        <w:rPr>
          <w:rFonts w:hint="eastAsia"/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1YTcwOTc1ZDUxNTcwOGNiZjNiNTdiY2QzOTc1YTgifQ=="/>
  </w:docVars>
  <w:rsids>
    <w:rsidRoot w:val="1C7D2FBF"/>
    <w:rsid w:val="1C7D2FBF"/>
    <w:rsid w:val="315A3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webp"/><Relationship Id="rId4" Type="http://schemas.openxmlformats.org/officeDocument/2006/relationships/image" Target="../NUL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496</Words>
  <Characters>504</Characters>
  <Lines>0</Lines>
  <Paragraphs>0</Paragraphs>
  <TotalTime>1920</TotalTime>
  <ScaleCrop>false</ScaleCrop>
  <LinksUpToDate>false</LinksUpToDate>
  <CharactersWithSpaces>510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2024-10-29T09:14:00Z</dcterms:created>
  <dc:creator>冰冰⊙▽⊙＊</dc:creator>
  <cp:lastModifiedBy>冰冰⊙▽⊙＊</cp:lastModifiedBy>
  <dcterms:modified xsi:type="dcterms:W3CDTF">2024-11-08T08:39:10Z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A706E34D696840FD834CD093BA37FC07_13</vt:lpwstr>
  </property>
</Properties>
</file>