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3D57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36"/>
          <w:szCs w:val="36"/>
        </w:rPr>
      </w:pPr>
      <w:r>
        <w:rPr>
          <w:rFonts w:hint="eastAsia" w:ascii="微软雅黑" w:hAnsi="微软雅黑" w:eastAsia="微软雅黑" w:cs="微软雅黑"/>
          <w:i w:val="0"/>
          <w:iCs w:val="0"/>
          <w:caps w:val="0"/>
          <w:color w:val="333333"/>
          <w:spacing w:val="0"/>
          <w:sz w:val="36"/>
          <w:szCs w:val="36"/>
          <w:bdr w:val="none" w:color="auto" w:sz="0" w:space="0"/>
          <w:shd w:val="clear" w:fill="FFFFFF"/>
        </w:rPr>
        <w:t>宋俊生《赢在股权：激励与法律风险防控》</w:t>
      </w:r>
    </w:p>
    <w:p w14:paraId="32444521">
      <w:pPr>
        <w:pStyle w:val="3"/>
        <w:keepNext w:val="0"/>
        <w:keepLines w:val="0"/>
        <w:widowControl/>
        <w:suppressLineNumbers w:val="0"/>
        <w:spacing w:before="75" w:beforeAutospacing="0" w:after="75" w:afterAutospacing="0"/>
        <w:ind w:left="0" w:right="0"/>
        <w:jc w:val="center"/>
        <w:rPr>
          <w:rFonts w:hint="eastAsia" w:ascii="微软雅黑" w:hAnsi="微软雅黑" w:eastAsia="微软雅黑" w:cs="微软雅黑"/>
        </w:rPr>
      </w:pPr>
      <w:r>
        <w:rPr>
          <w:rFonts w:hint="eastAsia" w:ascii="微软雅黑" w:hAnsi="微软雅黑" w:eastAsia="微软雅黑" w:cs="微软雅黑"/>
        </w:rPr>
        <w:br w:type="textWrapping"/>
      </w:r>
      <w:bookmarkStart w:id="0" w:name="_GoBack"/>
      <w:r>
        <w:rPr>
          <w:rFonts w:hint="eastAsia" w:ascii="微软雅黑" w:hAnsi="微软雅黑" w:eastAsia="微软雅黑" w:cs="微软雅黑"/>
        </w:rPr>
        <w:drawing>
          <wp:inline distT="0" distB="0" distL="114300" distR="114300">
            <wp:extent cx="4589145" cy="7268210"/>
            <wp:effectExtent l="0" t="0" r="1905" b="8890"/>
            <wp:docPr id="1" name="图片 1" descr="1692001413934026747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92001413934026747 (1).jpg"/>
                    <pic:cNvPicPr>
                      <a:picLocks noChangeAspect="1"/>
                    </pic:cNvPicPr>
                  </pic:nvPicPr>
                  <pic:blipFill>
                    <a:blip r:embed="rId4"/>
                    <a:stretch>
                      <a:fillRect/>
                    </a:stretch>
                  </pic:blipFill>
                  <pic:spPr>
                    <a:xfrm>
                      <a:off x="0" y="0"/>
                      <a:ext cx="4589145" cy="7268210"/>
                    </a:xfrm>
                    <a:prstGeom prst="rect">
                      <a:avLst/>
                    </a:prstGeom>
                    <a:noFill/>
                    <a:ln w="9525">
                      <a:noFill/>
                    </a:ln>
                  </pic:spPr>
                </pic:pic>
              </a:graphicData>
            </a:graphic>
          </wp:inline>
        </w:drawing>
      </w:r>
      <w:bookmarkEnd w:id="0"/>
    </w:p>
    <w:p w14:paraId="2A5D442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01、项目背景</w:t>
      </w:r>
    </w:p>
    <w:p w14:paraId="65234F31">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华为从仅有4元到2000多亿的壮举，彰显全员持股的威力。</w:t>
      </w:r>
    </w:p>
    <w:p w14:paraId="149DA66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关键董事长任正非持股不到2%，却能掌控公司命运，体现股权激励的卓越价值。</w:t>
      </w:r>
    </w:p>
    <w:p w14:paraId="34D6B3AF">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相比之下，小肥羊未能掌握成长关键，创始人养育有功却失去控制权。</w:t>
      </w:r>
    </w:p>
    <w:p w14:paraId="4CB4F70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中小企业面临治理结构不规范、股权激励难题，妨碍其快速扩展.</w:t>
      </w:r>
    </w:p>
    <w:p w14:paraId="446C74C4">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40D5FCB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不做股权，等死</w:t>
      </w:r>
    </w:p>
    <w:p w14:paraId="620E8B8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乱做股权，找死!</w:t>
      </w:r>
    </w:p>
    <w:p w14:paraId="24B04C1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6DD10C41">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如何设计出这么一套股权激励方案</w:t>
      </w:r>
    </w:p>
    <w:p w14:paraId="74CCFB9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Part1、吸引人才,引进外部优秀人才</w:t>
      </w:r>
    </w:p>
    <w:p w14:paraId="03A584A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Part2、让员工自愿加班，卖命工作</w:t>
      </w:r>
    </w:p>
    <w:p w14:paraId="3A98453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Part3、解放老板,业绩高速增长</w:t>
      </w:r>
    </w:p>
    <w:p w14:paraId="24F02EB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Part4、平衡股东关系，解决功 臣退出问题</w:t>
      </w:r>
    </w:p>
    <w:p w14:paraId="4A680B6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Part5、确保控制权和经营权统一</w:t>
      </w:r>
    </w:p>
    <w:p w14:paraId="394F497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38D11611">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好的顶层设计，赢在起跑线!</w:t>
      </w:r>
    </w:p>
    <w:p w14:paraId="27B6E32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01、由法律专家宋俊生1对1指导</w:t>
      </w:r>
    </w:p>
    <w:p w14:paraId="56ACD21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02、结合法律实践经验</w:t>
      </w:r>
    </w:p>
    <w:p w14:paraId="688AB56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03、用50个法律文本，5招31式，知名大企业案例</w:t>
      </w:r>
    </w:p>
    <w:p w14:paraId="3D21B47F">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04、诠释股权激励和结构治理</w:t>
      </w:r>
    </w:p>
    <w:p w14:paraId="2F394201">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05、解密鲜为人知的控股权之道</w:t>
      </w:r>
    </w:p>
    <w:p w14:paraId="2072F8A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06、破解员工卖命工作的奥秘</w:t>
      </w:r>
    </w:p>
    <w:p w14:paraId="394E494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7B03AC0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02、项目亮点</w:t>
      </w:r>
    </w:p>
    <w:p w14:paraId="1E44503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结果说话：现场培训指导方案+法律文本的生成</w:t>
      </w:r>
    </w:p>
    <w:p w14:paraId="2A006C84">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针对性强：专门针对中小企业开设的项目,1对1辅导</w:t>
      </w:r>
    </w:p>
    <w:p w14:paraId="627DBBF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系统全面：系统解决公司治理与股权激励的难题</w:t>
      </w:r>
    </w:p>
    <w:p w14:paraId="1071FA01">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学习收益：</w:t>
      </w:r>
    </w:p>
    <w:p w14:paraId="534D651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2个初步方案+50个法律文本,拿来即可用</w:t>
      </w:r>
    </w:p>
    <w:p w14:paraId="657D757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让员工卖命工作的股权激励招数</w:t>
      </w:r>
    </w:p>
    <w:p w14:paraId="173B7BE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股份很少却能牢牢控制公司的秘诀</w:t>
      </w:r>
    </w:p>
    <w:p w14:paraId="34C9FF8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升级法律思维与风险控制意识</w:t>
      </w:r>
    </w:p>
    <w:p w14:paraId="22467B1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004A8855">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03、导师介绍</w:t>
      </w:r>
    </w:p>
    <w:p w14:paraId="4299DBF7">
      <w:pPr>
        <w:pStyle w:val="3"/>
        <w:keepNext w:val="0"/>
        <w:keepLines w:val="0"/>
        <w:widowControl/>
        <w:suppressLineNumbers w:val="0"/>
        <w:spacing w:before="75" w:beforeAutospacing="0" w:after="75" w:afterAutospacing="0"/>
        <w:ind w:left="0" w:right="0"/>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5715000" cy="3638550"/>
            <wp:effectExtent l="0" t="0" r="0" b="0"/>
            <wp:docPr id="2" name="图片 2" descr="17301875191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730187519193.png"/>
                    <pic:cNvPicPr>
                      <a:picLocks noChangeAspect="1"/>
                    </pic:cNvPicPr>
                  </pic:nvPicPr>
                  <pic:blipFill>
                    <a:blip r:embed="rId5"/>
                    <a:stretch>
                      <a:fillRect/>
                    </a:stretch>
                  </pic:blipFill>
                  <pic:spPr>
                    <a:xfrm>
                      <a:off x="0" y="0"/>
                      <a:ext cx="5715000" cy="3638550"/>
                    </a:xfrm>
                    <a:prstGeom prst="rect">
                      <a:avLst/>
                    </a:prstGeom>
                    <a:noFill/>
                    <a:ln w="9525">
                      <a:noFill/>
                    </a:ln>
                  </pic:spPr>
                </pic:pic>
              </a:graphicData>
            </a:graphic>
          </wp:inline>
        </w:drawing>
      </w:r>
    </w:p>
    <w:p w14:paraId="03DD9848">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宋俊生</w:t>
      </w:r>
    </w:p>
    <w:p w14:paraId="6347FE15">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法律专家</w:t>
      </w:r>
    </w:p>
    <w:p w14:paraId="358F1CD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北京大学法学学士</w:t>
      </w:r>
    </w:p>
    <w:p w14:paraId="0382BA0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北京市安博律师事务所执行主任</w:t>
      </w:r>
    </w:p>
    <w:p w14:paraId="72BCC7F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中华全国律师协会民委文化论坛新媒体组委员中国上市投融资联盟秘书长中国法学会培训中心特聘教授</w:t>
      </w:r>
    </w:p>
    <w:p w14:paraId="4656001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为上百家企业提供了优质的公司治理、股权设计、股权激励、投融资、收并购、上市辅导、企业法律顾问等非诉服务。</w:t>
      </w:r>
    </w:p>
    <w:p w14:paraId="614271F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5E606875">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04、解决问题</w:t>
      </w:r>
    </w:p>
    <w:p w14:paraId="67B53D1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问题一、规范公司治理结构，按制度运行。</w:t>
      </w:r>
    </w:p>
    <w:p w14:paraId="2611FE35">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问题二、实现股东间利益共享与风险共担。</w:t>
      </w:r>
    </w:p>
    <w:p w14:paraId="6B25B4BB">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问题三、支撑企业上市大计。</w:t>
      </w:r>
    </w:p>
    <w:p w14:paraId="0374F27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问题四、加速公司销售规模的增长</w:t>
      </w:r>
    </w:p>
    <w:p w14:paraId="189312D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问题五、充分激活员工潜能，解放老板。</w:t>
      </w:r>
    </w:p>
    <w:p w14:paraId="3E42F37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6FB3B4E8">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05、课程内容</w:t>
      </w:r>
    </w:p>
    <w:p w14:paraId="3E84D5B2">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第一部分</w:t>
      </w:r>
    </w:p>
    <w:p w14:paraId="717E5D6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企业顶层设计三板斧之公司结构治理落地实战</w:t>
      </w:r>
    </w:p>
    <w:p w14:paraId="25C3828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模块一、公司结构治理计划</w:t>
      </w:r>
    </w:p>
    <w:p w14:paraId="02C4E0EB">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1、方案  股份公司:公司结构治理方案；有限公司:公司结构治理方案</w:t>
      </w:r>
    </w:p>
    <w:p w14:paraId="17F0B38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2、公司结构治理的说明文本</w:t>
      </w:r>
    </w:p>
    <w:p w14:paraId="782F62B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2DA3A571">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模块二、公司结构治理的19道防火墙和19大治理规则法律文本</w:t>
      </w:r>
    </w:p>
    <w:p w14:paraId="7911CE7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1、公司章程</w:t>
      </w:r>
    </w:p>
    <w:p w14:paraId="2C89A4B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公司控股权的19道防火墙条款</w:t>
      </w:r>
    </w:p>
    <w:p w14:paraId="6CC0935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公司章程</w:t>
      </w:r>
    </w:p>
    <w:p w14:paraId="49AD9555">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2、股东与股东会/股东大会</w:t>
      </w:r>
    </w:p>
    <w:p w14:paraId="3E9524F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有限公司:(1)股东会的议事规则</w:t>
      </w:r>
    </w:p>
    <w:p w14:paraId="5945C38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股份公司:(1)股东大会的议事规则(2)股份公司董事候选人提名程序</w:t>
      </w:r>
    </w:p>
    <w:p w14:paraId="393744E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3、董事与董事会 </w:t>
      </w:r>
    </w:p>
    <w:p w14:paraId="68C40C64">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有限公司、股份公司</w:t>
      </w:r>
    </w:p>
    <w:p w14:paraId="38E33E0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(1)新设企业(2)投融资(3)内部治理(4)股权设计(5)股权激励(6)员工手册</w:t>
      </w:r>
    </w:p>
    <w:p w14:paraId="557A2C14">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4、监事和监事会</w:t>
      </w:r>
    </w:p>
    <w:p w14:paraId="636EE3A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公司控股权的19道防火墙条款</w:t>
      </w:r>
    </w:p>
    <w:p w14:paraId="701FC3BF">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10464C0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第二部分企业顶层设计三板斧之公司股权激励落地实战</w:t>
      </w:r>
    </w:p>
    <w:p w14:paraId="7D3A742E">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模块三</w:t>
      </w:r>
    </w:p>
    <w:p w14:paraId="2A847C0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成果交付</w:t>
      </w:r>
    </w:p>
    <w:p w14:paraId="15916B38">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课程结束当日学员获得1个初步方案 19 个法律文本:课程结束7个工作日内学员获得本公司1个初步方案 19 个法律文本。</w:t>
      </w:r>
    </w:p>
    <w:p w14:paraId="55563BF8">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3C6058A6">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模块一、公司股权激励方案</w:t>
      </w:r>
    </w:p>
    <w:p w14:paraId="3B8C8B0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公司股权激励五类计划及25个必备法律文本</w:t>
      </w:r>
    </w:p>
    <w:p w14:paraId="15F642C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分红型:(1)分红激励计划(2)董事会决议(3)股东会决议(4)分红授予协议(5)考核办法</w:t>
      </w:r>
    </w:p>
    <w:p w14:paraId="241B484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期权型:(1)期权激励计划(2)董事会决议(3)股东会决议(4)期权授予协议(5)考核办法</w:t>
      </w:r>
    </w:p>
    <w:p w14:paraId="3C32DB04">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虚拟股权型:(1)虚拟股权激励计划(2)董事会决议(3)股东会决议(4)虚拟股权授予协议(5)考核办法</w:t>
      </w:r>
    </w:p>
    <w:p w14:paraId="7B993DA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限制性股权型:(1)限制性激励计划(2)董事会决议(3)股东会决议(4)限制性股权授予协议 (5)考核办法</w:t>
      </w:r>
    </w:p>
    <w:p w14:paraId="09A40FF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持股平台型:(1)持股平台激励计划(2)董事会决议(3)股东会决议(4)合伙企业协议(5)考核办法</w:t>
      </w:r>
    </w:p>
    <w:p w14:paraId="129EF40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04E9AEA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模块二、股权激励方案6个选择性法律文本</w:t>
      </w:r>
    </w:p>
    <w:p w14:paraId="1C4CE68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增资扩股协议</w:t>
      </w:r>
    </w:p>
    <w:p w14:paraId="2978AB75">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股权转让协议</w:t>
      </w:r>
    </w:p>
    <w:p w14:paraId="0D7F69A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天使融资协议</w:t>
      </w:r>
    </w:p>
    <w:p w14:paraId="2F80387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回购协议</w:t>
      </w:r>
    </w:p>
    <w:p w14:paraId="09B654F8">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一致行动人协议</w:t>
      </w:r>
    </w:p>
    <w:p w14:paraId="7A3B4E0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股权代持协议</w:t>
      </w:r>
    </w:p>
    <w:p w14:paraId="0454767F">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549A3C2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模块三、成果交付</w:t>
      </w:r>
    </w:p>
    <w:p w14:paraId="47A75BE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课程结束当日学员获得1个初步方案 31 个法律文本;课程结束 15 个工作日内学员获得本公司1个个性方案 31 个法律文本。</w:t>
      </w:r>
    </w:p>
    <w:p w14:paraId="54238772">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7620A8F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06、服务企业</w:t>
      </w:r>
    </w:p>
    <w:p w14:paraId="7B7C2BFB">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神威药业集团有限公司</w:t>
      </w:r>
    </w:p>
    <w:p w14:paraId="03C3DB4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酒鬼酒股份</w:t>
      </w:r>
    </w:p>
    <w:p w14:paraId="5D6E2C8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舒泰神生物制药</w:t>
      </w:r>
    </w:p>
    <w:p w14:paraId="657F5724">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重庆利龙科技产业(集团)有限公司</w:t>
      </w:r>
    </w:p>
    <w:p w14:paraId="34EFC67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西北养老集团</w:t>
      </w:r>
    </w:p>
    <w:p w14:paraId="0CCBA56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中航工业数码科技公司</w:t>
      </w:r>
    </w:p>
    <w:p w14:paraId="0AC7A9B9">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成都西辰软件有限公司</w:t>
      </w:r>
    </w:p>
    <w:p w14:paraId="6792576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广东顺德酒厂</w:t>
      </w:r>
    </w:p>
    <w:p w14:paraId="1C24466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江苏宏源防水公司</w:t>
      </w:r>
    </w:p>
    <w:p w14:paraId="366AA4C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中铁国恒公司</w:t>
      </w:r>
    </w:p>
    <w:p w14:paraId="603856F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华得富贸易公司</w:t>
      </w:r>
    </w:p>
    <w:p w14:paraId="79811832">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华晨阳科技公司</w:t>
      </w:r>
    </w:p>
    <w:p w14:paraId="60AA71BF">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上海凯昕建设公司</w:t>
      </w:r>
    </w:p>
    <w:p w14:paraId="031F9695">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上海提牛科技公司</w:t>
      </w:r>
    </w:p>
    <w:p w14:paraId="55B3EE16">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北京长空建设有限公司</w:t>
      </w:r>
    </w:p>
    <w:p w14:paraId="7A500A3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北京万立达娱乐</w:t>
      </w:r>
    </w:p>
    <w:p w14:paraId="339CA951">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安徽兴锂新能源有限公司</w:t>
      </w:r>
    </w:p>
    <w:p w14:paraId="1734A023">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深圳市加时特国际物流有限公司</w:t>
      </w:r>
    </w:p>
    <w:p w14:paraId="12DE116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广东康尊威达网络科技有限公司</w:t>
      </w:r>
    </w:p>
    <w:p w14:paraId="384DAD2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希格玛电气(珠海)有限公司</w:t>
      </w:r>
    </w:p>
    <w:p w14:paraId="1C5A9DA2">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新疆新领域建设工程有限公司</w:t>
      </w:r>
    </w:p>
    <w:p w14:paraId="0641D09D">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76BA4F5A">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07、学习指南</w:t>
      </w:r>
    </w:p>
    <w:p w14:paraId="4E00BB8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适合对象：企业 CEO、总经理等决策层</w:t>
      </w:r>
    </w:p>
    <w:p w14:paraId="4EAC2ED7">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学习时长：3 天2晚</w:t>
      </w:r>
    </w:p>
    <w:p w14:paraId="2E1778AB">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学习费用：</w:t>
      </w:r>
      <w:r>
        <w:rPr>
          <w:rFonts w:hint="eastAsia" w:ascii="微软雅黑" w:hAnsi="微软雅黑" w:eastAsia="微软雅黑" w:cs="微软雅黑"/>
          <w:color w:val="FF0000"/>
        </w:rPr>
        <w:t>2.98 万元</w:t>
      </w:r>
      <w:r>
        <w:rPr>
          <w:rFonts w:hint="eastAsia" w:ascii="微软雅黑" w:hAnsi="微软雅黑" w:eastAsia="微软雅黑" w:cs="微软雅黑"/>
        </w:rPr>
        <w:t>/一家企业(1+1)人</w:t>
      </w:r>
    </w:p>
    <w:p w14:paraId="559520DC">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上课地点：依实际状况而定</w:t>
      </w:r>
    </w:p>
    <w:p w14:paraId="49FDA864">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注意事项：学员企业可携带《公司章程》等涉及股权设计的文书参训便于现场指导</w:t>
      </w:r>
    </w:p>
    <w:p w14:paraId="250D15F0">
      <w:pPr>
        <w:pStyle w:val="3"/>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14:paraId="19F4CB63">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45170720"/>
    <w:rsid w:val="45170720"/>
    <w:rsid w:val="60E80F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2024-10-29T08:00:00Z</dcterms:created>
  <dc:creator>冰冰⊙▽⊙＊</dc:creator>
  <cp:lastModifiedBy>冰冰⊙▽⊙＊</cp:lastModifiedBy>
  <dcterms:modified xsi:type="dcterms:W3CDTF">2024-10-29T08:01:46Z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644655BF2E8C487FB0173481EB7F98C0_11</vt:lpwstr>
  </property>
</Properties>
</file>