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62A241">
      <w:pPr>
        <w:jc w:val="center"/>
        <w:rPr>
          <w:rFonts w:hint="eastAsia" w:ascii="微软雅黑" w:hAnsi="微软雅黑" w:eastAsia="微软雅黑" w:cs="微软雅黑"/>
          <w:b/>
          <w:bCs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t>郑翔洲《新资本模式与科技创新》</w:t>
      </w:r>
    </w:p>
    <w:p w14:paraId="12DFAE5A">
      <w:pPr>
        <w:rPr>
          <w:rFonts w:hint="eastAsia" w:ascii="微软雅黑" w:hAnsi="微软雅黑" w:eastAsia="微软雅黑" w:cs="微软雅黑"/>
          <w:sz w:val="24"/>
          <w:szCs w:val="24"/>
        </w:rPr>
      </w:pPr>
    </w:p>
    <w:p w14:paraId="573D30B0">
      <w:pPr>
        <w:rPr>
          <w:rFonts w:hint="eastAsia" w:ascii="微软雅黑" w:hAnsi="微软雅黑" w:eastAsia="微软雅黑" w:cs="微软雅黑"/>
          <w:sz w:val="24"/>
          <w:szCs w:val="24"/>
        </w:rPr>
      </w:pPr>
      <w:bookmarkStart w:id="0" w:name="_GoBack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课程</w:t>
      </w:r>
      <w:r>
        <w:rPr>
          <w:rFonts w:hint="eastAsia" w:ascii="微软雅黑" w:hAnsi="微软雅黑" w:eastAsia="微软雅黑" w:cs="微软雅黑"/>
          <w:sz w:val="24"/>
          <w:szCs w:val="24"/>
        </w:rPr>
        <w:t>亮点</w:t>
      </w:r>
    </w:p>
    <w:p w14:paraId="0D2FE8D8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全方位探讨新资本顶层设计与科技创新</w:t>
      </w:r>
    </w:p>
    <w:p w14:paraId="759826AA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向资本趋势要方向</w:t>
      </w:r>
    </w:p>
    <w:p w14:paraId="1E394B96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向商业模式要战略</w:t>
      </w:r>
    </w:p>
    <w:p w14:paraId="696A4F0A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向科技创新要突破</w:t>
      </w:r>
    </w:p>
    <w:p w14:paraId="7B8EF542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向鲜活案例要方法</w:t>
      </w:r>
    </w:p>
    <w:p w14:paraId="41B943A0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向现场人脉要资源</w:t>
      </w:r>
    </w:p>
    <w:p w14:paraId="620EBD26">
      <w:pPr>
        <w:rPr>
          <w:rFonts w:hint="eastAsia" w:ascii="微软雅黑" w:hAnsi="微软雅黑" w:eastAsia="微软雅黑" w:cs="微软雅黑"/>
          <w:sz w:val="24"/>
          <w:szCs w:val="24"/>
        </w:rPr>
      </w:pPr>
    </w:p>
    <w:p w14:paraId="0C11B6C8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【课程提纲】</w:t>
      </w:r>
    </w:p>
    <w:p w14:paraId="0FFFC863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模块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一</w:t>
      </w:r>
      <w:r>
        <w:rPr>
          <w:rFonts w:hint="eastAsia" w:ascii="微软雅黑" w:hAnsi="微软雅黑" w:eastAsia="微软雅黑" w:cs="微软雅黑"/>
          <w:sz w:val="24"/>
          <w:szCs w:val="24"/>
        </w:rPr>
        <w:t>：新资本顶层设计与价值导航</w:t>
      </w:r>
    </w:p>
    <w:p w14:paraId="34D629E2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1.在投资家眼里好企业的五个标准</w:t>
      </w:r>
    </w:p>
    <w:p w14:paraId="17FB1A34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2.如何让企业与资本市场对接</w:t>
      </w:r>
    </w:p>
    <w:p w14:paraId="3B5E8FB6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3.优势资本的投资策略与投资模式</w:t>
      </w:r>
    </w:p>
    <w:p w14:paraId="2053F74C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4.如何设计符合资本市场的商业模式</w:t>
      </w:r>
    </w:p>
    <w:p w14:paraId="60E43347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5.科技投资在中国的巨大机会</w:t>
      </w:r>
    </w:p>
    <w:p w14:paraId="2C4C028F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6.股权投资的高利润区在哪里？</w:t>
      </w:r>
    </w:p>
    <w:p w14:paraId="12B8EB3B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7.企业成长的价值导航分析</w:t>
      </w:r>
    </w:p>
    <w:p w14:paraId="1FC55EDE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8.企业如何从乙方转型到甲方，拥有产业链的控制权？</w:t>
      </w:r>
    </w:p>
    <w:p w14:paraId="0E2ACBB2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9.中国资本市场未来发展的趋势</w:t>
      </w:r>
    </w:p>
    <w:p w14:paraId="3B9EC34D">
      <w:pPr>
        <w:rPr>
          <w:rFonts w:hint="eastAsia" w:ascii="微软雅黑" w:hAnsi="微软雅黑" w:eastAsia="微软雅黑" w:cs="微软雅黑"/>
          <w:sz w:val="24"/>
          <w:szCs w:val="24"/>
        </w:rPr>
      </w:pPr>
    </w:p>
    <w:p w14:paraId="43B2FF9D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案例分析：雷士照明、匹克运动、御银科技、中宇卫浴、分众传媒、安踏体育、奈雪の茶、百果园</w:t>
      </w:r>
    </w:p>
    <w:p w14:paraId="185D6599">
      <w:pPr>
        <w:rPr>
          <w:rFonts w:hint="eastAsia" w:ascii="微软雅黑" w:hAnsi="微软雅黑" w:eastAsia="微软雅黑" w:cs="微软雅黑"/>
          <w:sz w:val="24"/>
          <w:szCs w:val="24"/>
          <w:lang w:eastAsia="zh-CN"/>
        </w:rPr>
      </w:pPr>
    </w:p>
    <w:p w14:paraId="46C5F55C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模块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二</w:t>
      </w:r>
      <w:r>
        <w:rPr>
          <w:rFonts w:hint="eastAsia" w:ascii="微软雅黑" w:hAnsi="微软雅黑" w:eastAsia="微软雅黑" w:cs="微软雅黑"/>
          <w:sz w:val="24"/>
          <w:szCs w:val="24"/>
        </w:rPr>
        <w:t>：科技创新与企业价值倍增</w:t>
      </w:r>
    </w:p>
    <w:p w14:paraId="3434BDEA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1.科技创新与商业模式顶层设计</w:t>
      </w:r>
    </w:p>
    <w:p w14:paraId="1CDE2165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2.如何结合科技创新与模式创新</w:t>
      </w:r>
    </w:p>
    <w:p w14:paraId="56BF8F55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3.企业如何设计产融结合的方案</w:t>
      </w:r>
    </w:p>
    <w:p w14:paraId="613E39B6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4.并购基金与定向增发的盈利模型</w:t>
      </w:r>
    </w:p>
    <w:p w14:paraId="5F5BE40D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5.如何设计可持续性的投资模式</w:t>
      </w:r>
    </w:p>
    <w:p w14:paraId="6084B327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6.资本模式创新与易经的关系</w:t>
      </w:r>
    </w:p>
    <w:p w14:paraId="609F835D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7.优势资本投资回报率最高的企业案例分析</w:t>
      </w:r>
    </w:p>
    <w:p w14:paraId="1132E3E3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8.基金模式创新与投资机制的设计</w:t>
      </w:r>
    </w:p>
    <w:p w14:paraId="15E16D0C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9.类金融模式的具体分析</w:t>
      </w:r>
    </w:p>
    <w:p w14:paraId="67AAA489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案例分析：资源类企业、农业、大消费、现代服务业、高端制造业、零售连锁业、TMT的哪些产业链值得投资以及案例分析</w:t>
      </w:r>
    </w:p>
    <w:p w14:paraId="7023A767">
      <w:pPr>
        <w:rPr>
          <w:rFonts w:hint="eastAsia" w:ascii="微软雅黑" w:hAnsi="微软雅黑" w:eastAsia="微软雅黑" w:cs="微软雅黑"/>
          <w:sz w:val="24"/>
          <w:szCs w:val="24"/>
          <w:lang w:eastAsia="zh-CN"/>
        </w:rPr>
      </w:pPr>
    </w:p>
    <w:p w14:paraId="2C0C7B2C">
      <w:pPr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报名对象：企业家、董事长、创业者、投资人、企业法人及高管</w:t>
      </w: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1YTcwOTc1ZDUxNTcwOGNiZjNiNTdiY2QzOTc1YTgifQ=="/>
  </w:docVars>
  <w:rsids>
    <w:rsidRoot w:val="74AF7159"/>
    <w:rsid w:val="4FB62B72"/>
    <w:rsid w:val="74AF7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502</Words>
  <Characters>522</Characters>
  <Lines>0</Lines>
  <Paragraphs>0</Paragraphs>
  <TotalTime>5</TotalTime>
  <ScaleCrop>false</ScaleCrop>
  <LinksUpToDate>false</LinksUpToDate>
  <CharactersWithSpaces>522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2024-10-29T05:29:00Z</dcterms:created>
  <dc:creator>冰冰⊙▽⊙＊</dc:creator>
  <cp:lastModifiedBy>冰冰⊙▽⊙＊</cp:lastModifiedBy>
  <dcterms:modified xsi:type="dcterms:W3CDTF">2024-10-29T07:08:00Z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D527A86B2EA34C82A18E5170CE8BF922_13</vt:lpwstr>
  </property>
</Properties>
</file>