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iCs w:val="0"/>
          <w:caps w:val="0"/>
          <w:color w:val="333333"/>
          <w:spacing w:val="0"/>
          <w:sz w:val="36"/>
          <w:szCs w:val="36"/>
        </w:rPr>
      </w:pPr>
      <w:r>
        <w:rPr>
          <w:bdr w:val="none" w:color="auto" w:sz="0" w:space="0"/>
        </w:rPr>
        <w:br w:type="textWrapping"/>
      </w:r>
      <w:r>
        <w:rPr>
          <w:rFonts w:hint="eastAsia" w:ascii="微软雅黑" w:hAnsi="微软雅黑" w:eastAsia="微软雅黑" w:cs="微软雅黑"/>
          <w:i w:val="0"/>
          <w:iCs w:val="0"/>
          <w:caps w:val="0"/>
          <w:color w:val="333333"/>
          <w:spacing w:val="0"/>
          <w:sz w:val="36"/>
          <w:szCs w:val="36"/>
          <w:bdr w:val="none" w:color="auto" w:sz="0" w:space="0"/>
          <w:shd w:val="clear" w:fill="FFFFFF"/>
        </w:rPr>
        <w:t>上海交通大学全球创新管理高级研修班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bdr w:val="none" w:color="auto" w:sz="0" w:space="0"/>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上海交通大学全球排名第50位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全球视野，深耕中国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上海交通大学全球创新管理高级研修班，始于1999年；20余年来，已发展成为颇具影响力的培训项目、企业创新管理的先导者。上海交通大学全球创新管理高级研修班在全新的高点上，为中国企业高级管理人员提供更加适合参与全球化竞争的高端商学教育课程，帮助中国企业迈向全新的高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2024年度，上海交通大学全球创新管理高级研修班做出了重大的课程升级，聚焦为两大课程模块，从《全球创新管理》、《盈利模式设计》两大维度，帮助企业重新审视自身的优势和短板，提升企业的管理模式和盈利能力。在面授课程之外，设置了学员小组的工作坊制度，由专职班主任进行指导，通过小组课题和讨论，把课堂知识转化为有效解决企业问题的方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25年历史超过6000名校友全球视野的创新管理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上海交通大学终身教育学院全球创新管理高级课程班，创始于 1999 年,25 年来，已有逾 6000 名企业家和企业高管人员参与此项目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广受历届学员好评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强大师资阵容：上海交通大学、清华大学等国内双一流大学管理学院资深专家阵容，代表中国南北高等学府风格，传授精彩理念，提供前沿解决方案。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课外工作坊制度：课堂上的案例教学让学员更了解企业核心问题；在课外，通过学校教辅团队创建的小组工作坊制度，让学员带着企业中的实际问题，在讨论和交流中找到有效解决的方法，创造更宏伟的事业。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庞大人脉资源：全球创新管理企业联谊会是服务于本项目历届近6000余名学友的校友组织，在南京、无锡、苏州、南通、杭州、山东等地均有当地的校友组织，此外，还建立了汽车和新能源俱乐部（筹）、医疗和大健康俱乐部（筹）、跑团社等行业与兴趣社。协助各届学友与各行业的成功人士交流学习，迅速增进人脉关系，创造事业飞跃的基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更完美的课程设置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2024年课程全新升级，聚焦《全球创新管理》、《盈利模式设计》两大课程模块。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在课外配合工作坊的落地实战方式，真正实现学以致用的目标。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4267200" cy="15240000"/>
            <wp:effectExtent l="0" t="0" r="0" b="0"/>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4267200" cy="1524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4267200" cy="15240000"/>
            <wp:effectExtent l="0" t="0" r="0" b="0"/>
            <wp:docPr id="3"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6"/>
                    <a:stretch>
                      <a:fillRect/>
                    </a:stretch>
                  </pic:blipFill>
                  <pic:spPr>
                    <a:xfrm>
                      <a:off x="0" y="0"/>
                      <a:ext cx="4267200" cy="15240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庞大的商界资源平台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全球创新管理企业联谊会服务平台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由上海交通大学杰出校友沈南鹏、季琦、吴炯、杨振宇、成军等联合发起并担任理事长及秘书长的上海交通大学校友会创业创投联合会，与全球创新管理企业联谊会形成战略合作，为上海交通大学全球创新管理校友们提供强大的创业投资驱动和社会资源整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丰富的校友活动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pPr>
      <w:r>
        <w:rPr>
          <w:color w:val="212020"/>
          <w:u w:val="none"/>
          <w:bdr w:val="none" w:color="auto" w:sz="0" w:space="0"/>
        </w:rPr>
        <w:drawing>
          <wp:inline distT="0" distB="0" distL="114300" distR="114300">
            <wp:extent cx="5162550" cy="8401050"/>
            <wp:effectExtent l="0" t="0" r="0" b="0"/>
            <wp:docPr id="2"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8"/>
                    <pic:cNvPicPr>
                      <a:picLocks noChangeAspect="1"/>
                    </pic:cNvPicPr>
                  </pic:nvPicPr>
                  <pic:blipFill>
                    <a:blip r:embed="rId7"/>
                    <a:stretch>
                      <a:fillRect/>
                    </a:stretch>
                  </pic:blipFill>
                  <pic:spPr>
                    <a:xfrm>
                      <a:off x="0" y="0"/>
                      <a:ext cx="5162550" cy="84010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优秀学友、著名企业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rFonts w:ascii="Microsoft YaHei UI" w:hAnsi="Microsoft YaHei UI" w:eastAsia="Microsoft YaHei UI" w:cs="Microsoft YaHei UI"/>
          <w:spacing w:val="8"/>
          <w:bdr w:val="none" w:color="auto" w:sz="0" w:space="0"/>
          <w:shd w:val="clear" w:fill="FFFFFF"/>
        </w:rPr>
        <w:t>（统计数据来自最近5年内就读的企业家学员）</w:t>
      </w:r>
    </w:p>
    <w:tbl>
      <w:tblPr>
        <w:tblpPr w:vertAnchor="text" w:tblpXSpec="left"/>
        <w:tblW w:w="101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2287"/>
        <w:gridCol w:w="78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420"/>
              <w:jc w:val="center"/>
            </w:pPr>
            <w:r>
              <w:rPr>
                <w:rStyle w:val="6"/>
                <w:sz w:val="21"/>
                <w:szCs w:val="21"/>
                <w:bdr w:val="none" w:color="auto" w:sz="0" w:space="0"/>
              </w:rPr>
              <w:t>就读班级</w:t>
            </w:r>
          </w:p>
        </w:tc>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Style w:val="6"/>
                <w:rFonts w:ascii="宋体" w:hAnsi="宋体" w:eastAsia="宋体" w:cs="宋体"/>
                <w:kern w:val="0"/>
                <w:sz w:val="21"/>
                <w:szCs w:val="21"/>
                <w:bdr w:val="none" w:color="auto" w:sz="0" w:space="0"/>
                <w:lang w:val="en-US" w:eastAsia="zh-CN" w:bidi="ar"/>
              </w:rPr>
              <w:t>公司名称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50期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华住酒店集团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50期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上海电气集团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50期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万科集团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50期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浙江爱仕达电器股份有限公司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51期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华润医药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51期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阿里巴巴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51期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上海临港松江科技城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51期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宝龙集团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51期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阿斯利康中国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52期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复星集团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52期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上海亚大汽车塑料制品有限公司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52期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博世(中国)投资有限公司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53期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云南白药集团股份有限公司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53期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甲骨文（中国）软件系统有限公司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54期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诺华医药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54期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上海宝尊电子商务有限公司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54期</w:t>
            </w:r>
          </w:p>
        </w:tc>
        <w:tc>
          <w:tcPr>
            <w:tcW w:w="0" w:type="auto"/>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波司登羽绒服装有限公司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54期</w:t>
            </w:r>
          </w:p>
        </w:tc>
        <w:tc>
          <w:tcPr>
            <w:tcW w:w="54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  赛诺菲（中国）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5" w:hRule="atLeast"/>
        </w:trPr>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54期</w:t>
            </w:r>
          </w:p>
        </w:tc>
        <w:tc>
          <w:tcPr>
            <w:tcW w:w="54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  大众汽车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5" w:hRule="atLeast"/>
        </w:trPr>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55期</w:t>
            </w:r>
          </w:p>
        </w:tc>
        <w:tc>
          <w:tcPr>
            <w:tcW w:w="5460" w:type="dxa"/>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420"/>
            </w:pPr>
            <w:r>
              <w:rPr>
                <w:sz w:val="18"/>
                <w:szCs w:val="18"/>
                <w:bdr w:val="none" w:color="auto" w:sz="0" w:space="0"/>
              </w:rPr>
              <w:t>  苹果采购运营（上海）有限公司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55期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  伊藤忠纤维贸易（中国）有限公司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55期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  上海ABB工程有限公司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55期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  迪桑特（中国）有限公司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56期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  迪士尼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56期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宝洁公司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57期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上海家化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57期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特斯拉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58期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中国商用飞机有限责任公司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58期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伊莱克斯（中国）电器有限公司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58期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爱尔眼科医院集团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58期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联合利华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58期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顶新国际集团-康师傅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58期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禾赛科技股份有限公司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58期</w:t>
            </w:r>
          </w:p>
        </w:tc>
        <w:tc>
          <w:tcPr>
            <w:tcW w:w="5160" w:type="dxa"/>
            <w:shd w:val="clear"/>
            <w:vAlign w:val="center"/>
          </w:tcPr>
          <w:p>
            <w:pPr>
              <w:keepNext w:val="0"/>
              <w:keepLines w:val="0"/>
              <w:widowControl/>
              <w:suppressLineNumbers w:val="0"/>
              <w:wordWrap w:val="0"/>
              <w:spacing w:before="0" w:beforeAutospacing="0" w:after="0" w:afterAutospacing="0"/>
              <w:ind w:left="0" w:right="0"/>
              <w:jc w:val="left"/>
            </w:pPr>
            <w:r>
              <w:rPr>
                <w:rFonts w:ascii="宋体" w:hAnsi="宋体" w:eastAsia="宋体" w:cs="宋体"/>
                <w:kern w:val="0"/>
                <w:sz w:val="18"/>
                <w:szCs w:val="18"/>
                <w:bdr w:val="none" w:color="auto" w:sz="0" w:space="0"/>
                <w:lang w:val="en-US" w:eastAsia="zh-CN" w:bidi="ar"/>
              </w:rPr>
              <w:t>上海联影智慧医疗投资管理有限公司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1590" w:type="dxa"/>
            <w:shd w:val="clear"/>
            <w:vAlign w:val="center"/>
          </w:tcPr>
          <w:p>
            <w:pPr>
              <w:keepNext w:val="0"/>
              <w:keepLines w:val="0"/>
              <w:widowControl/>
              <w:suppressLineNumbers w:val="0"/>
              <w:wordWrap w:val="0"/>
              <w:spacing w:before="0" w:beforeAutospacing="0" w:after="0" w:afterAutospacing="0"/>
              <w:ind w:left="0" w:right="0"/>
              <w:jc w:val="center"/>
            </w:pPr>
            <w:r>
              <w:rPr>
                <w:rFonts w:ascii="宋体" w:hAnsi="宋体" w:eastAsia="宋体" w:cs="宋体"/>
                <w:kern w:val="0"/>
                <w:sz w:val="18"/>
                <w:szCs w:val="18"/>
                <w:bdr w:val="none" w:color="auto" w:sz="0" w:space="0"/>
                <w:lang w:val="en-US" w:eastAsia="zh-CN" w:bidi="ar"/>
              </w:rPr>
              <w:t>58期</w:t>
            </w:r>
          </w:p>
        </w:tc>
        <w:tc>
          <w:tcPr>
            <w:tcW w:w="5160" w:type="dxa"/>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420"/>
            </w:pPr>
            <w:r>
              <w:rPr>
                <w:sz w:val="18"/>
                <w:szCs w:val="18"/>
                <w:bdr w:val="none" w:color="auto" w:sz="0" w:space="0"/>
              </w:rPr>
              <w:t>三生制药集团</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60" w:afterAutospacing="0" w:line="384" w:lineRule="atLeast"/>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招生指南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招生对象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1. 具有大专以上（含大专）学历，四年以上工作经验；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 需在企业担任高级管理职务，或在跨国公司、大型企业任部门经理以上职务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学习时间及安排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1、每隔2-3周利用双休日授课一次，每次授课2天。如课程安排有变化，以实际安排为准。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2、近期开班时间：第63期全球创新管理高级研修班从2024年11月开始授课，2025年10月结业。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上课地点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上海交通大学长宁校区专用教室授课，教学设施为国际标准的商学院配置。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 学费及证书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上海交通大学终身教育学院全球创新管理课程班：学费</w:t>
      </w:r>
      <w:r>
        <w:rPr>
          <w:color w:val="FF0000"/>
          <w:bdr w:val="none" w:color="auto" w:sz="0" w:space="0"/>
        </w:rPr>
        <w:t>70000元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r>
        <w:rPr>
          <w:bdr w:val="none" w:color="auto" w:sz="0" w:space="0"/>
        </w:rPr>
        <w:t>证书：学员在通过所有考核后可获由上海交通大学颁发的课程结业证书。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646B2EB3"/>
    <w:rsid w:val="646B2E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3.pn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2024-07-11T08:10:00Z</dcterms:created>
  <dc:creator>冰冰⊙▽⊙＊</dc:creator>
  <cp:lastModifiedBy>冰冰⊙▽⊙＊</cp:lastModifiedBy>
  <dcterms:modified xsi:type="dcterms:W3CDTF">2024-07-11T08:10:39Z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2445ECA7BEE84A5B9731AACD8E8868FF_11</vt:lpwstr>
  </property>
</Properties>
</file>