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ascii="微软雅黑" w:hAnsi="微软雅黑" w:eastAsia="微软雅黑" w:cs="微软雅黑"/>
          <w:i w:val="0"/>
          <w:iCs w:val="0"/>
          <w:caps w:val="0"/>
          <w:color w:val="333333"/>
          <w:spacing w:val="0"/>
          <w:sz w:val="36"/>
          <w:szCs w:val="36"/>
        </w:rPr>
      </w:pPr>
      <w:r>
        <w:rPr>
          <w:rFonts w:hint="eastAsia" w:ascii="微软雅黑" w:hAnsi="微软雅黑" w:eastAsia="微软雅黑" w:cs="微软雅黑"/>
          <w:i w:val="0"/>
          <w:iCs w:val="0"/>
          <w:caps w:val="0"/>
          <w:color w:val="333333"/>
          <w:spacing w:val="0"/>
          <w:sz w:val="36"/>
          <w:szCs w:val="36"/>
          <w:bdr w:val="none" w:color="auto" w:sz="0" w:space="0"/>
          <w:shd w:val="clear" w:fill="FFFFFF"/>
        </w:rPr>
        <w:t>彭亨教育基金大学高级工商管理硕士（EMBA)招生简章</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bdr w:val="none" w:color="auto" w:sz="0" w:space="0"/>
          <w:shd w:val="clear" w:fill="FFFFFF"/>
        </w:rPr>
      </w:pPr>
      <w:bookmarkStart w:id="0" w:name="_GoBack"/>
      <w:bookmarkEnd w:id="0"/>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学制短</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费用低</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免答辩</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院校简介</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center"/>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212020"/>
          <w:spacing w:val="0"/>
          <w:sz w:val="21"/>
          <w:szCs w:val="21"/>
          <w:u w:val="none"/>
          <w:bdr w:val="none" w:color="auto" w:sz="0" w:space="0"/>
          <w:shd w:val="clear" w:fill="FFFFFF"/>
        </w:rPr>
        <w:drawing>
          <wp:inline distT="0" distB="0" distL="114300" distR="114300">
            <wp:extent cx="6048375" cy="6038850"/>
            <wp:effectExtent l="0" t="0" r="9525" b="0"/>
            <wp:docPr id="3" name="图片 1" descr="IMG_256">
              <a:hlinkClick xmlns:a="http://schemas.openxmlformats.org/drawingml/2006/main" r:id="rId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1" descr="IMG_256"/>
                    <pic:cNvPicPr>
                      <a:picLocks noChangeAspect="1"/>
                    </pic:cNvPicPr>
                  </pic:nvPicPr>
                  <pic:blipFill>
                    <a:blip r:embed="rId5"/>
                    <a:stretch>
                      <a:fillRect/>
                    </a:stretch>
                  </pic:blipFill>
                  <pic:spPr>
                    <a:xfrm>
                      <a:off x="0" y="0"/>
                      <a:ext cx="6048375" cy="603885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彭亨教育基金大学学院（University College of Yayasan Pahang，简称：UCYP）位于马来西亚彭亨州首府关丹，是马来西亚其中一所优秀评级的大学学院，为彭亨州教育基金会于1992年发起成立，曾用名为IKIP/KYP，现任马来西亚王后为学校荣誉校长。UCYP提供文、商、理、工、农、创意、设计及资讯科技等课程，涵盖文凭课程、学士、硕士、博士等多层次课程。</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资质与排名</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马来西亚高等教育机构级别评估中被评为五星级院校</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列入《中华人民共和国教育部教育涉外监管信息网》名单</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列为“中华人民共和国教育部”所认证大学其学位和学历受两国互认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马来西亚王后为荣誉校长的院校</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政府背景的私立大学，彭亨教育基金会强大支持</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专业介绍</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教育部认证教学质量五星级大学</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高级工商管理硕士学位(EMBA)</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学费:68000元 +报名费:2600元 可申请10000元助学金</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论文辅导/翻译/印刷费、签证手续费、考察/游学期间的食宿/交通费等自理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项目为迎接全球商业变革而设立，以培养具有国际视野的企业家或职业经理人为主要目的，旨在汇聚系统与实战密切结合的国内外顶级专家、教授，聚焦制约企业发展的典型瓶颈问题，通过引入系统的国际化EMBA课程和商业案例，为商界精英提供超越常规视野、突破传统理念、抢占并保持领先地位的国际化高端平台。</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学会如何制定或诊断企业的战略体系：包括：战略规划、商业模式、赢利模式等；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解决“人才”痛点：如何低成本的取得企业合伙人？如何激励、如何分享企业利润？</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如何找到最适合的投资方：你的公司估值多少？怎样与投资方谈判并达成合作？如何对接或走向资本市场？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互联网思维的本质和核心是什么？</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如何构建你的企业文化？</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如何有效整合各类资源？如：政策资源、政府资源、社会资源等。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项目优势</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方式灵活、实战教学、路径便利、学术严谨、性价比高、国际化师资、学分互认、全球化资源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课程体系</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必修课考核方式(作业)</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《全球政治经济形势分析与展望》    学分:4</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百年未有之大变局</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面临挑战与破局关键</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全球经济一体化与循环体系</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《新经济时代的战略规划与选择》    学分:4</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新经济时代的经营决策与战略格局</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战略诊断、分析与战略选择</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战略定位、价值取向、战略能力</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《商业模式重塑与企业价值创造》    学分:4</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商业模式背后的逻辑</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公司价值的三大支撑与持续生长的商业模式</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商业模式三要素与九要素思维框架</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《VUCA时代的组织变革与管理》    学分:4</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理解变革--变革的本质与变革三段论</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 拥抱变革--透析四种变革风格，探寻变革成功的关键因素</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领导变革--寻找变革创新机会的CRA工具与变革管理八步骤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《大数据时代下营销战略与管控》    学分:4</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大数据时代下营销的顶层设计</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理解营销及转型的思考，制定具有爆发力的营销战术</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低成本营销创新--传统与网络营销融合创新</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《战略人力资源管理》    学分:4</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六大模块的目标:企业需要解决的三大“价值”问题</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组织未来发展的趋势、领导者特质模型与识人四要素</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价值评估与价值分配--绩效管理与考核、激励与合伙人制度</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《业财融合下企业战略财务管理》    学分:4</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税务风险防控决策·如何破解民营企业10大原罪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财务助推经营决策-站在经营端审视业财结合</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财务运营管理决策轻松学会财务分析，透视企业运营之道</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内控成本管控决策、全面预算管理决策与投融资决策</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《股权激励与合伙人机制设计》学分:4</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合伙人的机制设计与公司的股权价值设计</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股权布局与控制权设计·</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 股权激励常见问题及股权激励的动态管理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《并购重组与资本运作》    学分:4</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宏观经济趋势解读与公司并购重组环境分析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企业并购重组的实施操作流程及核心关键问题分析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并购基金与产业基金成为当前企业并购的核心模式</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《变革环境下的领导力修炼》    学分:4</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间大势观澜:VUCA时代的变与不变</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领导者以身作则的“六大行动指南”</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如何让组织聚焦使命--洞察用户价值、建立有效思维与科学决策</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选修课 考核方式(作业)</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《项目管理》    学分2</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项目目标设定与企业项目治理策路</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核心业务的项目可行性研究与商业价值分析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项目规划、计划、实施、监控与收尾</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《产品创新与爆品思维》    学分2</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创新经济时代带来的改变</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产品策划及打造产品的关键方法</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打造爆品三大步骤及快速推向市场</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《管理经济学》    学分:2</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经济分析方法运用及商业与经济预测</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企业的目标与决策及不同市场结构下的企业行为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市场竞争与垄断价值分析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《决策者的企业法律实务》    学分:2</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公司股权比例、控制权、股权代持法律风险防范</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企业合同法律风险防控</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企业融资法律风险防控</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企业知识产权法律风险防控</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毕业论文撰写    学分:10</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部分师资</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Mohamad NizamBin Yusof</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马来西亚彭亨基金会大学学院(UCYP)亚洲商学院院长</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刘 圻</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中南财经政法大学教授,博士生导师</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陈 慧</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北京邮电大学经济管理学院教授博士生导师</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洪 华</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谷仓创业学院创始人、CEO2017年编著《小米生态链战地笔记》</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李自杰</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对外经济贸易大学国际商学院教授博士生导师</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贺正生</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北京市衡基律师事务所创始合伙人</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梁 慧</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云经邦合伙人长虹多媒体产业公司首席发展顾问</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娄 萌</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中国人民大学管理学博士多所高校EMBA课程主讲老师</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钱栋玉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三生智本董事长、企业管理专家知名投资人,企业转型升级系统创始人</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Nur Azimah binti Saad</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马来西亚彭亨基金大学学院(UCYP)教育及语言研究学院院长</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高雄勇</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前小米电视副总裁新一代爆品工程提出者</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靳卫萍</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清华大学社会科学学院经济所副教授清华大学政治经济学研究中心研究部主任</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张 斌</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经济学博士，项目管理知识体系指南(PMBOK)第四版简体中文版译者</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丁守海</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中国人民大学经济学院教授博士生导师</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潘 鹏</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国家工信部中小企业局“经营管理领军人才”项目“领导力项目”指定讲师</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吴梓境</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原金亚资本总经理原方正证券产业金融部副总裁</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刘百功</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德荣投资集团董事长西南财经大学企业赋能增长研究中心执行主任</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潘 诚</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战略管理与组织变革实战专家</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上海财经大学500强研究中心研究员</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入学指南</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【录取对象】</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彭亨教育基金大学学院实行“推荐”入学制</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1、本科或相当于同等学历，并具有3年以上管理经验之报读者;</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2、大专或相当于同等学历，并具有5年以上管理经验之报读者，</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【学费学制】</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学费:</w:t>
      </w:r>
      <w:r>
        <w:rPr>
          <w:rFonts w:hint="eastAsia" w:ascii="微软雅黑" w:hAnsi="微软雅黑" w:eastAsia="微软雅黑" w:cs="微软雅黑"/>
          <w:i w:val="0"/>
          <w:iCs w:val="0"/>
          <w:caps w:val="0"/>
          <w:color w:val="FF0000"/>
          <w:spacing w:val="0"/>
          <w:sz w:val="21"/>
          <w:szCs w:val="21"/>
          <w:bdr w:val="none" w:color="auto" w:sz="0" w:space="0"/>
          <w:shd w:val="clear" w:fill="FFFFFF"/>
        </w:rPr>
        <w:t>68000元十报名费:2600元</w:t>
      </w:r>
      <w:r>
        <w:rPr>
          <w:rFonts w:hint="eastAsia" w:ascii="微软雅黑" w:hAnsi="微软雅黑" w:eastAsia="微软雅黑" w:cs="微软雅黑"/>
          <w:i w:val="0"/>
          <w:iCs w:val="0"/>
          <w:caps w:val="0"/>
          <w:color w:val="333333"/>
          <w:spacing w:val="0"/>
          <w:sz w:val="21"/>
          <w:szCs w:val="21"/>
          <w:bdr w:val="none" w:color="auto" w:sz="0" w:space="0"/>
          <w:shd w:val="clear" w:fill="FFFFFF"/>
        </w:rPr>
        <w:t>，可申请10000元助学金</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学制 1.5 年，论文半年，实行学分制，其中必修课每门10学分选修课每门6学分，实践活动1次，6学分。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说明:论文辅导/翻译/印刷费、签证手续费、考察/游学期间的食宿/交通费自理。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【在职学习】</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以课程学习、实践活动、课后自学、论文撰写为主，采取在职学习的方式完成课程，不耽误工作。根据EMBA的特点，结合培养目标和选题意向，有针对性的开展社会实践活动，如企业参访、校际交流、管理前沿讲座等，用活动的方式帮助学员巩固学习成果，提升学习效果。</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【证书授予】</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以课程学习、实践活动、课后自学、论文撰写为主，采取在职学习的方式完成课程，不耽误工作。根据EMBA的特点，结合培养目标和选题意向，有针对性的开展社会实践活动，如企业参访、校际交流、管理前沿讲座等，用活动的方式帮助学员巩固学习成果，提升学习效果。</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证书样本</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center"/>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212020"/>
          <w:spacing w:val="0"/>
          <w:sz w:val="21"/>
          <w:szCs w:val="21"/>
          <w:u w:val="none"/>
          <w:bdr w:val="none" w:color="auto" w:sz="0" w:space="0"/>
          <w:shd w:val="clear" w:fill="FFFFFF"/>
        </w:rPr>
        <w:drawing>
          <wp:inline distT="0" distB="0" distL="114300" distR="114300">
            <wp:extent cx="6038850" cy="8239125"/>
            <wp:effectExtent l="0" t="0" r="0" b="9525"/>
            <wp:docPr id="1" name="图片 2" descr="IMG_257">
              <a:hlinkClick xmlns:a="http://schemas.openxmlformats.org/drawingml/2006/main" r:id="rId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2" descr="IMG_257"/>
                    <pic:cNvPicPr>
                      <a:picLocks noChangeAspect="1"/>
                    </pic:cNvPicPr>
                  </pic:nvPicPr>
                  <pic:blipFill>
                    <a:blip r:embed="rId6"/>
                    <a:stretch>
                      <a:fillRect/>
                    </a:stretch>
                  </pic:blipFill>
                  <pic:spPr>
                    <a:xfrm>
                      <a:off x="0" y="0"/>
                      <a:ext cx="6038850" cy="8239125"/>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center"/>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212020"/>
          <w:spacing w:val="0"/>
          <w:sz w:val="21"/>
          <w:szCs w:val="21"/>
          <w:u w:val="none"/>
          <w:bdr w:val="none" w:color="auto" w:sz="0" w:space="0"/>
          <w:shd w:val="clear" w:fill="FFFFFF"/>
        </w:rPr>
        <w:drawing>
          <wp:inline distT="0" distB="0" distL="114300" distR="114300">
            <wp:extent cx="6162675" cy="5057775"/>
            <wp:effectExtent l="0" t="0" r="9525" b="9525"/>
            <wp:docPr id="5" name="图片 3" descr="IMG_258">
              <a:hlinkClick xmlns:a="http://schemas.openxmlformats.org/drawingml/2006/main" r:id="rId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3" descr="IMG_258"/>
                    <pic:cNvPicPr>
                      <a:picLocks noChangeAspect="1"/>
                    </pic:cNvPicPr>
                  </pic:nvPicPr>
                  <pic:blipFill>
                    <a:blip r:embed="rId7"/>
                    <a:stretch>
                      <a:fillRect/>
                    </a:stretch>
                  </pic:blipFill>
                  <pic:spPr>
                    <a:xfrm>
                      <a:off x="0" y="0"/>
                      <a:ext cx="6162675" cy="5057775"/>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证明材料</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center"/>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212020"/>
          <w:spacing w:val="0"/>
          <w:sz w:val="21"/>
          <w:szCs w:val="21"/>
          <w:u w:val="none"/>
          <w:bdr w:val="none" w:color="auto" w:sz="0" w:space="0"/>
          <w:shd w:val="clear" w:fill="FFFFFF"/>
        </w:rPr>
        <w:drawing>
          <wp:inline distT="0" distB="0" distL="114300" distR="114300">
            <wp:extent cx="5505450" cy="8401050"/>
            <wp:effectExtent l="0" t="0" r="0" b="0"/>
            <wp:docPr id="4" name="图片 4" descr="IMG_259">
              <a:hlinkClick xmlns:a="http://schemas.openxmlformats.org/drawingml/2006/main" r:id="rId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IMG_259"/>
                    <pic:cNvPicPr>
                      <a:picLocks noChangeAspect="1"/>
                    </pic:cNvPicPr>
                  </pic:nvPicPr>
                  <pic:blipFill>
                    <a:blip r:embed="rId8"/>
                    <a:stretch>
                      <a:fillRect/>
                    </a:stretch>
                  </pic:blipFill>
                  <pic:spPr>
                    <a:xfrm>
                      <a:off x="0" y="0"/>
                      <a:ext cx="5505450" cy="840105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center"/>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212020"/>
          <w:spacing w:val="0"/>
          <w:sz w:val="21"/>
          <w:szCs w:val="21"/>
          <w:u w:val="none"/>
          <w:bdr w:val="none" w:color="auto" w:sz="0" w:space="0"/>
          <w:shd w:val="clear" w:fill="FFFFFF"/>
        </w:rPr>
        <w:drawing>
          <wp:inline distT="0" distB="0" distL="114300" distR="114300">
            <wp:extent cx="5505450" cy="6429375"/>
            <wp:effectExtent l="0" t="0" r="0" b="9525"/>
            <wp:docPr id="2" name="图片 5" descr="IMG_260">
              <a:hlinkClick xmlns:a="http://schemas.openxmlformats.org/drawingml/2006/main" r:id="rId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5" descr="IMG_260"/>
                    <pic:cNvPicPr>
                      <a:picLocks noChangeAspect="1"/>
                    </pic:cNvPicPr>
                  </pic:nvPicPr>
                  <pic:blipFill>
                    <a:blip r:embed="rId9"/>
                    <a:stretch>
                      <a:fillRect/>
                    </a:stretch>
                  </pic:blipFill>
                  <pic:spPr>
                    <a:xfrm>
                      <a:off x="0" y="0"/>
                      <a:ext cx="5505450" cy="6429375"/>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学习流程</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01 提交报名资料</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证件照(电子版白底);</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身份证复印件(正反面扫描件);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最高学历证/学位证扫描件;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英文简历(无需提供，学习平台自动翻译):</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目的声明:</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两封推荐信:</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02 缴纳报名费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03 院校审核录取</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审核通过者，5 个工作日内予以下发录取通知书</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04 缴纳学费、修读学分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进入课程学习阶段，修完课程及完成每门课程作业，修满学分，成绩合格者进入下一阶段</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05 成绩合格者可申请毕业</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修完学分，进入撰写论文阶段，论文提交，申请毕业</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06 毕业典礼学位授予参加毕业典礼学位授予</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YyYWU3OWJmMjVhYWExMDJhYTQwZDkyZTU5MDY5NGIifQ=="/>
  </w:docVars>
  <w:rsids>
    <w:rsidRoot w:val="12A53A36"/>
    <w:rsid w:val="12A53A3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semiHidden/>
    <w:unhideWhenUsed/>
    <w:qFormat/>
    <w:uiPriority w:val="0"/>
    <w:pPr>
      <w:spacing w:before="0" w:beforeAutospacing="1" w:after="0" w:afterAutospacing="1"/>
      <w:jc w:val="left"/>
    </w:pPr>
    <w:rPr>
      <w:rFonts w:hint="eastAsia" w:ascii="宋体" w:hAnsi="宋体" w:eastAsia="宋体" w:cs="宋体"/>
      <w:b/>
      <w:bCs/>
      <w:kern w:val="0"/>
      <w:sz w:val="36"/>
      <w:szCs w:val="36"/>
      <w:lang w:val="en-US" w:eastAsia="zh-CN" w:bidi="ar"/>
    </w:rPr>
  </w:style>
  <w:style w:type="character" w:default="1" w:styleId="5">
    <w:name w:val="Default Paragraph Font"/>
    <w:semiHidden/>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3">
    <w:name w:val="Normal (Web)"/>
    <w:basedOn w:val="1"/>
    <w:uiPriority w:val="0"/>
    <w:pPr>
      <w:spacing w:before="0" w:beforeAutospacing="1" w:after="0" w:afterAutospacing="1"/>
      <w:ind w:left="0" w:right="0"/>
      <w:jc w:val="left"/>
    </w:pPr>
    <w:rPr>
      <w:kern w:val="0"/>
      <w:sz w:val="24"/>
      <w:lang w:val="en-US" w:eastAsia="zh-CN" w:bidi="ar"/>
    </w:rPr>
  </w:style>
  <w:style w:type="character" w:styleId="6">
    <w:name w:val="Hyperlink"/>
    <w:basedOn w:val="5"/>
    <w:uiPriority w:val="0"/>
    <w:rPr>
      <w:color w:val="0000FF"/>
      <w:u w:val="single"/>
    </w:rPr>
  </w:style>
</w:styles>
</file>

<file path=word/_rels/document.xml.rels><?xml version="1.0" encoding="UTF-8" standalone="yes"?>
<Relationships xmlns="http://schemas.openxmlformats.org/package/2006/relationships"><Relationship Id="rId9" Type="http://schemas.openxmlformats.org/officeDocument/2006/relationships/image" Target="media/image5.png"/><Relationship Id="rId8" Type="http://schemas.openxmlformats.org/officeDocument/2006/relationships/image" Target="media/image4.png"/><Relationship Id="rId7" Type="http://schemas.openxmlformats.org/officeDocument/2006/relationships/image" Target="media/image3.png"/><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hyperlink" Target="javascript:;" TargetMode="External"/><Relationship Id="rId3" Type="http://schemas.openxmlformats.org/officeDocument/2006/relationships/theme" Target="theme/theme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15</Pages>
  <Words>0</Words>
  <Characters>0</Characters>
  <Lines>0</Lines>
  <Paragraphs>0</Paragraphs>
  <TotalTime>0</TotalTime>
  <ScaleCrop>false</ScaleCrop>
  <LinksUpToDate>false</LinksUpToDate>
  <CharactersWithSpaces>0</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2024-07-08T15:11:00Z</dcterms:created>
  <dc:creator>冰冰⊙▽⊙＊</dc:creator>
  <cp:lastModifiedBy>冰冰⊙▽⊙＊</cp:lastModifiedBy>
  <dcterms:modified xsi:type="dcterms:W3CDTF">2024-07-08T15:11:32Z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0995BA7671264878BC3215A3D9530A6E_11</vt:lpwstr>
  </property>
</Properties>
</file>