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0D" w:rsidRPr="00F9190D" w:rsidRDefault="00F9190D" w:rsidP="00F9190D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2F2F2F"/>
          <w:kern w:val="0"/>
          <w:sz w:val="27"/>
          <w:szCs w:val="27"/>
        </w:rPr>
      </w:pPr>
      <w:bookmarkStart w:id="0" w:name="_GoBack"/>
      <w:r w:rsidRPr="00F9190D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讲师培训课程</w:t>
      </w:r>
    </w:p>
    <w:bookmarkEnd w:id="0"/>
    <w:p w:rsidR="00F9190D" w:rsidRPr="00F9190D" w:rsidRDefault="00F9190D" w:rsidP="00F9190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9190D">
        <w:rPr>
          <w:rFonts w:ascii="微软雅黑" w:eastAsia="微软雅黑" w:hAnsi="微软雅黑" w:cs="宋体" w:hint="eastAsia"/>
          <w:b/>
          <w:bCs/>
          <w:color w:val="FF6600"/>
          <w:kern w:val="0"/>
          <w:sz w:val="27"/>
          <w:szCs w:val="27"/>
        </w:rPr>
        <w:t>课程背景：</w:t>
      </w:r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  <w:t>培训师是企业培训计划的执行者与落实者，培训师是掌握培训方法的人，培训师更是企业实施与运作培训活动中的决定性因素。因此，面向企业</w:t>
      </w:r>
      <w:proofErr w:type="gramStart"/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内训师</w:t>
      </w:r>
      <w:proofErr w:type="gramEnd"/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开展定期、定向、定标的专业技能培训势在必行。企业</w:t>
      </w:r>
      <w:proofErr w:type="gramStart"/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内训师</w:t>
      </w:r>
      <w:proofErr w:type="gramEnd"/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的培养是属于技能类的培训，教学技巧和语言表达，属于教学技能的培养中最为重要，关键的环节。</w:t>
      </w:r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F9190D">
        <w:rPr>
          <w:rFonts w:ascii="微软雅黑" w:eastAsia="微软雅黑" w:hAnsi="微软雅黑" w:cs="宋体" w:hint="eastAsia"/>
          <w:b/>
          <w:bCs/>
          <w:color w:val="FF6600"/>
          <w:kern w:val="0"/>
          <w:sz w:val="27"/>
          <w:szCs w:val="27"/>
        </w:rPr>
        <w:t>课程目的：</w:t>
      </w:r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  <w:t>通过课程可以使学员清楚企业内部讲师的职责，功能与角色，以及具备设计培训教学计划和培训表达实战能力。</w:t>
      </w:r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F9190D">
        <w:rPr>
          <w:rFonts w:ascii="微软雅黑" w:eastAsia="微软雅黑" w:hAnsi="微软雅黑" w:cs="宋体" w:hint="eastAsia"/>
          <w:b/>
          <w:bCs/>
          <w:color w:val="FF6600"/>
          <w:kern w:val="0"/>
          <w:sz w:val="27"/>
          <w:szCs w:val="27"/>
        </w:rPr>
        <w:t>课程内容：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92"/>
        <w:gridCol w:w="2875"/>
        <w:gridCol w:w="52"/>
        <w:gridCol w:w="2945"/>
        <w:gridCol w:w="1279"/>
      </w:tblGrid>
      <w:tr w:rsidR="00F9190D" w:rsidRPr="00F9190D" w:rsidTr="00F9190D">
        <w:tc>
          <w:tcPr>
            <w:tcW w:w="126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课程主题</w:t>
            </w: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课程的具体内容</w:t>
            </w:r>
          </w:p>
        </w:tc>
        <w:tc>
          <w:tcPr>
            <w:tcW w:w="3465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目的、目标、收益</w:t>
            </w:r>
          </w:p>
        </w:tc>
        <w:tc>
          <w:tcPr>
            <w:tcW w:w="14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方法与时长</w:t>
            </w:r>
          </w:p>
        </w:tc>
      </w:tr>
      <w:tr w:rsidR="00F9190D" w:rsidRPr="00F9190D" w:rsidTr="00F9190D">
        <w:trPr>
          <w:trHeight w:val="510"/>
        </w:trPr>
        <w:tc>
          <w:tcPr>
            <w:tcW w:w="735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培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训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的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方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法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与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技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巧</w:t>
            </w:r>
          </w:p>
        </w:tc>
        <w:tc>
          <w:tcPr>
            <w:tcW w:w="54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对自身的控制</w:t>
            </w: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proofErr w:type="gramStart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内训师</w:t>
            </w:r>
            <w:proofErr w:type="gramEnd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的职业定位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proofErr w:type="gramStart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明确内训师</w:t>
            </w:r>
            <w:proofErr w:type="gramEnd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的职业生涯定位</w:t>
            </w:r>
          </w:p>
        </w:tc>
        <w:tc>
          <w:tcPr>
            <w:tcW w:w="1455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专题讲座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案例教学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现场测试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1.5小时</w:t>
            </w: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proofErr w:type="gramStart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内训师</w:t>
            </w:r>
            <w:proofErr w:type="gramEnd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的修炼内容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proofErr w:type="gramStart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清晰内训师职</w:t>
            </w:r>
            <w:proofErr w:type="gramEnd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业素养的要求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proofErr w:type="gramStart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内训师</w:t>
            </w:r>
            <w:proofErr w:type="gramEnd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的首要任务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3.掌握职业道德培养的重要性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proofErr w:type="gramStart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内训师</w:t>
            </w:r>
            <w:proofErr w:type="gramEnd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的自身形象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4.知晓自身形象在培训中的位置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5.如何做好课前准备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5.学会把握课前的各项准备工作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6.如何消除紧张情绪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6.基本掌握紧张情绪的消除方法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7.对自身的全面控制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7.清楚为确保质量进行全面控制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对学员的控制</w:t>
            </w: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1.讲师学员的关系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1.理顺与学员的关系有助于教学</w:t>
            </w:r>
          </w:p>
        </w:tc>
        <w:tc>
          <w:tcPr>
            <w:tcW w:w="1455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专题讲座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案例分享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现场测试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提供工具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1.5小时</w:t>
            </w: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2.学员类型的划分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2.清晰学员的类型可以因人施教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3.了解学员的方法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3.了解清学员可以知晓能力差距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4.沟通学员的方法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4.沟通好学员可以稳定参培情绪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5.引导学员的方法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5.引导好学员可以诱发学习欲望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6.吸引学员的技巧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6.吸引住学员可以激发学习热忱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对教学的控制</w:t>
            </w: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1.培训的教学原则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1.把握原则可以增强教学效果</w:t>
            </w:r>
          </w:p>
        </w:tc>
        <w:tc>
          <w:tcPr>
            <w:tcW w:w="1455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专题讲座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案例分享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游戏体验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提供工具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4个小时</w:t>
            </w: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2.教学的三</w:t>
            </w:r>
            <w:proofErr w:type="gramStart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读五备</w:t>
            </w:r>
            <w:proofErr w:type="gramEnd"/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2.读好计划可以提升培训质量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3.控制意图的方法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proofErr w:type="gramStart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控好意图</w:t>
            </w:r>
            <w:proofErr w:type="gramEnd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可以界定教学范围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4.开场的几种形式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4.做好教学开场可以事半功倍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5.教学教法的种类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5.掌握教法可以活跃培训课堂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6.教学演绎的技巧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6.丰富演绎手法可以增强效果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7.教学助力的方法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7.掌握助力方法可以促进转化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8.教学技巧的运用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8.学会教学技巧可以吸引学员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9.教学提问的方式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9.掌握问答方法可以掌控课堂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10.点评学员的方法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10.学会点评可以培养参培热忱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11.教学问题的规避</w:t>
            </w:r>
          </w:p>
        </w:tc>
        <w:tc>
          <w:tcPr>
            <w:tcW w:w="34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11.注意规避问题可以畅通教学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9190D" w:rsidRPr="00F9190D" w:rsidRDefault="00F9190D" w:rsidP="00F9190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907"/>
        <w:gridCol w:w="3014"/>
        <w:gridCol w:w="1272"/>
      </w:tblGrid>
      <w:tr w:rsidR="00F9190D" w:rsidRPr="00F9190D" w:rsidTr="00F9190D"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课程主题</w:t>
            </w: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课程的具体内容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目的、目标、收益</w:t>
            </w:r>
          </w:p>
        </w:tc>
        <w:tc>
          <w:tcPr>
            <w:tcW w:w="14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方法与时长</w:t>
            </w:r>
          </w:p>
        </w:tc>
      </w:tr>
      <w:tr w:rsidR="00F9190D" w:rsidRPr="00F9190D" w:rsidTr="00F9190D">
        <w:trPr>
          <w:trHeight w:val="510"/>
        </w:trPr>
        <w:tc>
          <w:tcPr>
            <w:tcW w:w="1260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语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言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表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达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的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方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法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与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巧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1.教学语言与演讲的对比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1.明确演讲与教学语言的区别</w:t>
            </w:r>
          </w:p>
        </w:tc>
        <w:tc>
          <w:tcPr>
            <w:tcW w:w="1455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专题讲座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案例教学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小组研讨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游戏体验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提供工具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案例分享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标杆展示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晚间自习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单兵辅导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完成作业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行动计划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课堂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7个小时</w:t>
            </w: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2.语言表达的七个标准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2.掌握标准，利于语言的修炼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3.语言表达的六项准备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3.学会语言表达前的各种准备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4.教学语言表达的要求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4.清晰要求，利于语言的规范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5.语言表达的六个特色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5.懂得特色，丰富语言的魅力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6.教学语言表达的提示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6.学会提示，利于讲义的编制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7.教学语言表达的设计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7.学会设计，形成自身的风格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8.教学语言表达的方法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8.掌握方法，增强语言的效果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9.语言表达的吐字归音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9.学会吐字归音强化语言清晰度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10.语言表达的抑扬顿挫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10.学会抑扬顿挫增加语言的力度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11.语言表达的轻重缓急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11.掌握轻重缓急，可以象形会意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12.语言表达的故事新编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12.学会故事新编，可以赋予新意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13.语言表达的现代语法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13.使用现代语法，可以产生共鸣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14.语言表达的问题规避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14.注意规避问题，防止语言失误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15.肢体语言表达的应用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15.注重肢体语言，助</w:t>
            </w:r>
            <w:proofErr w:type="gramStart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推语言</w:t>
            </w:r>
            <w:proofErr w:type="gramEnd"/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效果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16.语言表达的修炼方法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16.明确修炼方法，可以快速成长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190D" w:rsidRPr="00F9190D" w:rsidTr="00F9190D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17.语言表达的体验练习</w:t>
            </w:r>
          </w:p>
        </w:tc>
        <w:tc>
          <w:tcPr>
            <w:tcW w:w="34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190D">
              <w:rPr>
                <w:rFonts w:ascii="宋体" w:eastAsia="宋体" w:hAnsi="宋体" w:cs="宋体"/>
                <w:kern w:val="0"/>
                <w:sz w:val="24"/>
                <w:szCs w:val="24"/>
              </w:rPr>
              <w:t>17.上台演练，可以亲身体验感受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F9190D" w:rsidRPr="00F9190D" w:rsidRDefault="00F9190D" w:rsidP="00F9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9190D" w:rsidRPr="00F9190D" w:rsidRDefault="00F9190D" w:rsidP="00F9190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F9190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F9190D">
        <w:rPr>
          <w:rFonts w:ascii="微软雅黑" w:eastAsia="微软雅黑" w:hAnsi="微软雅黑" w:cs="宋体" w:hint="eastAsia"/>
          <w:b/>
          <w:bCs/>
          <w:color w:val="FF6600"/>
          <w:kern w:val="0"/>
          <w:sz w:val="27"/>
          <w:szCs w:val="27"/>
        </w:rPr>
        <w:t>课堂掠影：</w:t>
      </w:r>
      <w:r w:rsidRPr="00F9190D">
        <w:rPr>
          <w:rFonts w:ascii="微软雅黑" w:eastAsia="微软雅黑" w:hAnsi="微软雅黑" w:cs="宋体" w:hint="eastAsia"/>
          <w:b/>
          <w:bCs/>
          <w:color w:val="FF6600"/>
          <w:kern w:val="0"/>
          <w:sz w:val="27"/>
          <w:szCs w:val="27"/>
        </w:rPr>
        <w:br/>
        <w:t> </w:t>
      </w:r>
    </w:p>
    <w:p w:rsidR="00F9190D" w:rsidRPr="00F9190D" w:rsidRDefault="00F9190D" w:rsidP="00F9190D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9190D">
        <w:rPr>
          <w:rFonts w:ascii="微软雅黑" w:eastAsia="微软雅黑" w:hAnsi="微软雅黑" w:cs="宋体"/>
          <w:b/>
          <w:bCs/>
          <w:noProof/>
          <w:color w:val="FF6600"/>
          <w:kern w:val="0"/>
          <w:sz w:val="27"/>
          <w:szCs w:val="27"/>
        </w:rPr>
        <w:lastRenderedPageBreak/>
        <w:drawing>
          <wp:inline distT="0" distB="0" distL="0" distR="0">
            <wp:extent cx="6237818" cy="3508772"/>
            <wp:effectExtent l="0" t="0" r="0" b="0"/>
            <wp:docPr id="6" name="图片 6" descr="http://www.bjlhpx.com/uploads/190528/1-1Z52Q95414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lhpx.com/uploads/190528/1-1Z52Q95414Q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67" cy="351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90D">
        <w:rPr>
          <w:rFonts w:ascii="微软雅黑" w:eastAsia="微软雅黑" w:hAnsi="微软雅黑" w:cs="宋体" w:hint="eastAsia"/>
          <w:b/>
          <w:bCs/>
          <w:color w:val="FF6600"/>
          <w:kern w:val="0"/>
          <w:sz w:val="27"/>
          <w:szCs w:val="27"/>
        </w:rPr>
        <w:t> </w:t>
      </w:r>
      <w:r w:rsidRPr="00F9190D">
        <w:rPr>
          <w:rFonts w:ascii="微软雅黑" w:eastAsia="微软雅黑" w:hAnsi="微软雅黑" w:cs="宋体"/>
          <w:noProof/>
          <w:color w:val="FF6600"/>
          <w:kern w:val="0"/>
          <w:sz w:val="27"/>
          <w:szCs w:val="27"/>
        </w:rPr>
        <w:drawing>
          <wp:inline distT="0" distB="0" distL="0" distR="0">
            <wp:extent cx="6161405" cy="3958988"/>
            <wp:effectExtent l="0" t="0" r="0" b="3810"/>
            <wp:docPr id="5" name="图片 5" descr="http://www.bjlhpx.com/uploads/190528/1-1Z52Q94J3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lhpx.com/uploads/190528/1-1Z52Q94J3P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08" cy="397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90D">
        <w:rPr>
          <w:rFonts w:ascii="微软雅黑" w:eastAsia="微软雅黑" w:hAnsi="微软雅黑" w:cs="宋体" w:hint="eastAsia"/>
          <w:color w:val="FF6600"/>
          <w:kern w:val="0"/>
          <w:sz w:val="27"/>
          <w:szCs w:val="27"/>
        </w:rPr>
        <w:br/>
      </w:r>
      <w:r w:rsidRPr="00F9190D">
        <w:rPr>
          <w:rFonts w:ascii="微软雅黑" w:eastAsia="微软雅黑" w:hAnsi="微软雅黑" w:cs="宋体"/>
          <w:b/>
          <w:bCs/>
          <w:strike/>
          <w:noProof/>
          <w:color w:val="FF6600"/>
          <w:kern w:val="0"/>
          <w:sz w:val="24"/>
          <w:szCs w:val="24"/>
          <w:vertAlign w:val="superscript"/>
        </w:rPr>
        <w:lastRenderedPageBreak/>
        <w:drawing>
          <wp:inline distT="0" distB="0" distL="0" distR="0">
            <wp:extent cx="6800850" cy="4467225"/>
            <wp:effectExtent l="0" t="0" r="0" b="9525"/>
            <wp:docPr id="4" name="图片 4" descr="http://www.bjlhpx.com/uploads/190528/1-1Z52Q9553H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lhpx.com/uploads/190528/1-1Z52Q9553H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90D">
        <w:rPr>
          <w:rFonts w:ascii="微软雅黑" w:eastAsia="微软雅黑" w:hAnsi="微软雅黑" w:cs="宋体" w:hint="eastAsia"/>
          <w:b/>
          <w:bCs/>
          <w:strike/>
          <w:color w:val="FF6600"/>
          <w:kern w:val="0"/>
          <w:sz w:val="24"/>
          <w:szCs w:val="24"/>
          <w:u w:val="single"/>
          <w:vertAlign w:val="superscript"/>
        </w:rPr>
        <w:t> </w:t>
      </w:r>
      <w:r w:rsidRPr="00F9190D">
        <w:rPr>
          <w:rFonts w:ascii="微软雅黑" w:eastAsia="微软雅黑" w:hAnsi="微软雅黑" w:cs="宋体"/>
          <w:b/>
          <w:bCs/>
          <w:strike/>
          <w:noProof/>
          <w:color w:val="FF6600"/>
          <w:kern w:val="0"/>
          <w:sz w:val="24"/>
          <w:szCs w:val="24"/>
          <w:vertAlign w:val="superscript"/>
        </w:rPr>
        <w:lastRenderedPageBreak/>
        <w:drawing>
          <wp:inline distT="0" distB="0" distL="0" distR="0">
            <wp:extent cx="6057900" cy="4038600"/>
            <wp:effectExtent l="0" t="0" r="0" b="0"/>
            <wp:docPr id="3" name="图片 3" descr="http://www.bjlhpx.com/uploads/190528/1-1Z52Q95559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jlhpx.com/uploads/190528/1-1Z52Q955595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90D">
        <w:rPr>
          <w:rFonts w:ascii="微软雅黑" w:eastAsia="微软雅黑" w:hAnsi="微软雅黑" w:cs="宋体" w:hint="eastAsia"/>
          <w:b/>
          <w:bCs/>
          <w:strike/>
          <w:color w:val="FF6600"/>
          <w:kern w:val="0"/>
          <w:sz w:val="24"/>
          <w:szCs w:val="24"/>
          <w:u w:val="single"/>
          <w:vertAlign w:val="superscript"/>
        </w:rPr>
        <w:br/>
        <w:t> </w:t>
      </w:r>
      <w:r w:rsidRPr="00F9190D">
        <w:rPr>
          <w:rFonts w:ascii="微软雅黑" w:eastAsia="微软雅黑" w:hAnsi="微软雅黑" w:cs="宋体"/>
          <w:b/>
          <w:bCs/>
          <w:strike/>
          <w:noProof/>
          <w:color w:val="FF6600"/>
          <w:kern w:val="0"/>
          <w:sz w:val="24"/>
          <w:szCs w:val="24"/>
          <w:vertAlign w:val="superscript"/>
        </w:rPr>
        <w:drawing>
          <wp:inline distT="0" distB="0" distL="0" distR="0">
            <wp:extent cx="6132830" cy="3664077"/>
            <wp:effectExtent l="0" t="0" r="1270" b="0"/>
            <wp:docPr id="1" name="图片 1" descr="http://www.bjlhpx.com/uploads/190528/1-1Z52R0000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jlhpx.com/uploads/190528/1-1Z52R0000B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66" cy="36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F5" w:rsidRDefault="003E33F5"/>
    <w:sectPr w:rsidR="003E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0D"/>
    <w:rsid w:val="003E33F5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F9F3"/>
  <w15:chartTrackingRefBased/>
  <w15:docId w15:val="{4E094278-0F8D-4143-A136-02726BF1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2022-12-27T06:31:00Z</dcterms:created>
  <dcterms:modified xsi:type="dcterms:W3CDTF">2022-12-27T06:34:00Z</dcterms:modified>
</cp:coreProperties>
</file>