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lang w:val="en-US" w:eastAsia="zh-CN"/>
        </w:rPr>
      </w:pPr>
      <w:bookmarkStart w:id="0" w:name="_GoBack"/>
      <w:bookmarkEnd w:id="0"/>
      <w:r>
        <w:rPr>
          <w:rFonts w:hint="default"/>
          <w:lang w:val="en-US" w:eastAsia="zh-CN"/>
        </w:rPr>
        <w:drawing>
          <wp:inline distT="0" distB="0" distL="114300" distR="114300">
            <wp:extent cx="4902200" cy="1336675"/>
            <wp:effectExtent l="0" t="0" r="12700" b="15875"/>
            <wp:docPr id="2" name="图片 2" descr="QQ截图20220310133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QQ截图20220310133240"/>
                    <pic:cNvPicPr>
                      <a:picLocks noChangeAspect="1"/>
                    </pic:cNvPicPr>
                  </pic:nvPicPr>
                  <pic:blipFill>
                    <a:blip r:embed="rId5"/>
                    <a:stretch>
                      <a:fillRect/>
                    </a:stretch>
                  </pic:blipFill>
                  <pic:spPr>
                    <a:xfrm>
                      <a:off x="0" y="0"/>
                      <a:ext cx="4902200" cy="1336675"/>
                    </a:xfrm>
                    <a:prstGeom prst="rect">
                      <a:avLst/>
                    </a:prstGeom>
                  </pic:spPr>
                </pic:pic>
              </a:graphicData>
            </a:graphic>
          </wp:inline>
        </w:drawing>
      </w:r>
    </w:p>
    <w:p>
      <w:pPr>
        <w:jc w:val="center"/>
        <w:rPr>
          <w:rFonts w:hint="default"/>
          <w:lang w:val="en-US" w:eastAsia="zh-CN"/>
        </w:rPr>
      </w:pPr>
    </w:p>
    <w:p>
      <w:pPr>
        <w:spacing w:line="360" w:lineRule="auto"/>
        <w:ind w:left="2566" w:leftChars="304" w:hanging="1928" w:hangingChars="600"/>
        <w:contextualSpacing/>
        <w:jc w:val="left"/>
        <w:rPr>
          <w:rFonts w:hint="eastAsia" w:ascii="宋体" w:hAnsi="宋体"/>
          <w:b/>
          <w:bCs w:val="0"/>
          <w:color w:val="000000"/>
          <w:sz w:val="32"/>
          <w:szCs w:val="32"/>
        </w:rPr>
      </w:pPr>
      <w:r>
        <w:rPr>
          <w:rFonts w:hint="eastAsia" w:ascii="宋体" w:hAnsi="宋体"/>
          <w:b/>
          <w:bCs w:val="0"/>
          <w:color w:val="000000"/>
          <w:sz w:val="32"/>
          <w:szCs w:val="32"/>
          <w:lang w:val="en-US" w:eastAsia="zh-CN"/>
        </w:rPr>
        <w:t>南昌航空大学设计学专业工艺美术研究方向</w:t>
      </w:r>
      <w:r>
        <w:rPr>
          <w:rFonts w:hint="eastAsia" w:ascii="宋体" w:hAnsi="宋体"/>
          <w:b/>
          <w:bCs w:val="0"/>
          <w:color w:val="000000"/>
          <w:sz w:val="32"/>
          <w:szCs w:val="32"/>
        </w:rPr>
        <w:t>同等学</w:t>
      </w:r>
      <w:r>
        <w:rPr>
          <w:rFonts w:hint="eastAsia" w:ascii="宋体" w:hAnsi="宋体"/>
          <w:b/>
          <w:bCs w:val="0"/>
          <w:color w:val="000000"/>
          <w:sz w:val="32"/>
          <w:szCs w:val="32"/>
          <w:lang w:val="en-US" w:eastAsia="zh-CN"/>
        </w:rPr>
        <w:t>力</w:t>
      </w:r>
      <w:r>
        <w:rPr>
          <w:rFonts w:hint="eastAsia" w:ascii="宋体" w:hAnsi="宋体"/>
          <w:b/>
          <w:bCs w:val="0"/>
          <w:color w:val="000000"/>
          <w:sz w:val="32"/>
          <w:szCs w:val="32"/>
        </w:rPr>
        <w:t>申请硕士学位招生简章</w:t>
      </w:r>
    </w:p>
    <w:p>
      <w:pPr>
        <w:jc w:val="center"/>
        <w:rPr>
          <w:rFonts w:hint="default"/>
          <w:lang w:val="en-US" w:eastAsia="zh-CN"/>
        </w:rPr>
      </w:pPr>
    </w:p>
    <w:p>
      <w:pPr>
        <w:jc w:val="both"/>
        <w:rPr>
          <w:rFonts w:hint="default"/>
          <w:lang w:val="en-US" w:eastAsia="zh-CN"/>
        </w:rPr>
      </w:pPr>
    </w:p>
    <w:p>
      <w:pPr>
        <w:numPr>
          <w:ilvl w:val="0"/>
          <w:numId w:val="1"/>
        </w:numPr>
        <w:jc w:val="both"/>
        <w:rPr>
          <w:rFonts w:hint="eastAsia"/>
          <w:b/>
          <w:bCs/>
          <w:lang w:val="en-US" w:eastAsia="zh-CN"/>
        </w:rPr>
      </w:pPr>
      <w:r>
        <w:rPr>
          <w:rFonts w:hint="eastAsia"/>
          <w:b/>
          <w:bCs/>
          <w:lang w:val="en-US" w:eastAsia="zh-CN"/>
        </w:rPr>
        <w:t>院校简介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南昌航空大学</w:t>
      </w:r>
      <w:r>
        <w:rPr>
          <w:rFonts w:hint="default"/>
          <w:b w:val="0"/>
          <w:bCs w:val="0"/>
          <w:lang w:val="en-US" w:eastAsia="zh-CN"/>
        </w:rPr>
        <w:t>成立于1952年，是一所以工为主、工理文管经法教艺等学科协调发展的多科性大学，主要服务于我国航空工业和地方经济社会建设,是江西省人民政府与国家国防科技工业局共建的具有鲜明航空、国防特色的高等学校。</w:t>
      </w:r>
      <w:r>
        <w:rPr>
          <w:rFonts w:hint="eastAsia"/>
          <w:b w:val="0"/>
          <w:bCs w:val="0"/>
          <w:lang w:val="en-US" w:eastAsia="zh-CN"/>
        </w:rPr>
        <w:t>学校具有17个硕士学位授权一级学科点，12个硕士专业学位授权点。承担江西省科技重大专项、江西省社科重大招标项目、行业科技项目等省部级科研项目800多项。入选首批“领航江西”智库成员单位。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南昌航空大学艺术与设计学院的前身为成立于2001年的南昌航空工业学院艺术系，2004年7月，根据学院的发展和学校的整体规划，艺术系更名为“艺术与设计学院”。学院</w:t>
      </w:r>
      <w:r>
        <w:rPr>
          <w:rFonts w:hint="default"/>
          <w:b w:val="0"/>
          <w:bCs w:val="0"/>
          <w:lang w:val="en-US" w:eastAsia="zh-CN"/>
        </w:rPr>
        <w:t>拥有设计学一级学科硕士点、艺术硕士专业学位点。五个本科专业：环境设计专业、产品设计专业、视觉传达设计专业、动画专业、工艺美术。学院拥有江西省工业设计中心、江西省文化艺术科学重点研究基地、江西省非物质文化遗产研究基地、江西省科普动漫创作基地4个省级科研平台，获批江西省动画专业综合改革试点项目，江西省优秀动漫教育机构。</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r>
        <w:rPr>
          <w:rFonts w:hint="eastAsia"/>
          <w:b w:val="0"/>
          <w:bCs w:val="0"/>
          <w:lang w:val="en-US" w:eastAsia="zh-CN"/>
        </w:rPr>
        <w:t>为了向社会培养更多的富有创意创新的工艺美术研究领域高质量人才，2022年南昌航空大学艺术与设计学院特此开设设计学专业工艺美术研究方向申硕培训班。</w:t>
      </w:r>
    </w:p>
    <w:p>
      <w:pPr>
        <w:widowControl w:val="0"/>
        <w:numPr>
          <w:ilvl w:val="0"/>
          <w:numId w:val="0"/>
        </w:numPr>
        <w:jc w:val="both"/>
        <w:rPr>
          <w:rFonts w:hint="eastAsia"/>
          <w:b/>
          <w:bCs/>
          <w:lang w:val="en-US" w:eastAsia="zh-CN"/>
        </w:rPr>
      </w:pPr>
    </w:p>
    <w:p>
      <w:pPr>
        <w:numPr>
          <w:ilvl w:val="0"/>
          <w:numId w:val="1"/>
        </w:numPr>
        <w:jc w:val="both"/>
        <w:rPr>
          <w:rFonts w:hint="default"/>
          <w:b/>
          <w:bCs/>
          <w:lang w:val="en-US" w:eastAsia="zh-CN"/>
        </w:rPr>
      </w:pPr>
      <w:r>
        <w:rPr>
          <w:rFonts w:hint="eastAsia"/>
          <w:b/>
          <w:bCs/>
          <w:lang w:val="en-US" w:eastAsia="zh-CN"/>
        </w:rPr>
        <w:t>培养目标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eastAsia"/>
          <w:b w:val="0"/>
          <w:bCs w:val="0"/>
          <w:lang w:val="en-US" w:eastAsia="zh-CN"/>
        </w:rPr>
      </w:pPr>
      <w:r>
        <w:rPr>
          <w:rFonts w:hint="eastAsia"/>
          <w:b w:val="0"/>
          <w:bCs w:val="0"/>
          <w:lang w:val="en-US" w:eastAsia="zh-CN"/>
        </w:rPr>
        <w:t>本专业方向主要是通过学习工艺美术基础理论知识、先进的设计理念，培养具有综合材料与工艺分析创新能力、设计表达及创作能力，立足弘扬和继承传统文化与艺术，吸收世界工艺与艺术精华，强化以科技应用的手段与以人为本的手工文化，探索工艺与设计结合的新领域。能关注工艺美术与时尚行业的现状与发展趋势，强调实践与创新能力、艺术创作和社会适应能力，创业与团队合作能力,并能从文化、工艺、社会和专业的角度，结合美术学、艺术学发挥设计创意和创新。能从事工艺美术的设计与开发、旅游工艺品设计与开发及其相关领域的设计、实践型的高素质应用型人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jc w:val="both"/>
        <w:textAlignment w:val="auto"/>
        <w:rPr>
          <w:rFonts w:hint="default"/>
          <w:b w:val="0"/>
          <w:bCs w:val="0"/>
          <w:lang w:val="en-US" w:eastAsia="zh-CN"/>
        </w:rPr>
      </w:pPr>
    </w:p>
    <w:p>
      <w:pPr>
        <w:numPr>
          <w:ilvl w:val="0"/>
          <w:numId w:val="1"/>
        </w:numPr>
        <w:jc w:val="both"/>
        <w:rPr>
          <w:rFonts w:hint="eastAsia"/>
          <w:b/>
          <w:bCs/>
          <w:lang w:val="en-US" w:eastAsia="zh-CN"/>
        </w:rPr>
      </w:pPr>
      <w:r>
        <w:rPr>
          <w:rFonts w:hint="eastAsia"/>
          <w:b/>
          <w:bCs/>
          <w:lang w:val="en-US" w:eastAsia="zh-CN"/>
        </w:rPr>
        <w:t>特色优势</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1、【免试审核入学】：采取资格审核方式入学，免试入学；</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2、【申硕仅考1科】：申硕考试科目只考一科（英语或日语），难度低易通过；</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b/>
          <w:bCs/>
          <w:color w:val="000000" w:themeColor="text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3、【多次申硕机会】：4次机会参加申硕全国统考；</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4、【正规硕士教育】：科学完整的课程体系，符合条件者可申请硕士学位；</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5、【灵活授课】设面授班、网络班，学员可根据自身实际情况选择学习班型；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color w:val="000000" w:themeColor="text1"/>
          <w:sz w:val="21"/>
          <w:szCs w:val="21"/>
          <w:lang w:val="en-US" w:eastAsia="zh-CN"/>
          <w14:textFill>
            <w14:solidFill>
              <w14:schemeClr w14:val="tx1"/>
            </w14:solidFill>
          </w14:textFill>
        </w:rPr>
      </w:pPr>
      <w:r>
        <w:rPr>
          <w:rFonts w:hint="eastAsia"/>
          <w:color w:val="000000" w:themeColor="text1"/>
          <w:sz w:val="21"/>
          <w:szCs w:val="21"/>
          <w:lang w:val="en-US" w:eastAsia="zh-CN"/>
          <w14:textFill>
            <w14:solidFill>
              <w14:schemeClr w14:val="tx1"/>
            </w14:solidFill>
          </w14:textFill>
        </w:rPr>
        <w:t>6、【共享学校资源】：可享受与在校生同等的电子数据资源，获得校友人脉资源。</w:t>
      </w:r>
    </w:p>
    <w:p>
      <w:pPr>
        <w:widowControl w:val="0"/>
        <w:numPr>
          <w:ilvl w:val="0"/>
          <w:numId w:val="0"/>
        </w:numPr>
        <w:jc w:val="both"/>
        <w:rPr>
          <w:rFonts w:hint="default"/>
          <w:b/>
          <w:bCs/>
          <w:lang w:val="en-US" w:eastAsia="zh-CN"/>
        </w:rPr>
      </w:pPr>
    </w:p>
    <w:p>
      <w:pPr>
        <w:numPr>
          <w:ilvl w:val="0"/>
          <w:numId w:val="1"/>
        </w:numPr>
        <w:jc w:val="both"/>
        <w:rPr>
          <w:rFonts w:hint="eastAsia"/>
          <w:b/>
          <w:bCs/>
          <w:lang w:val="en-US" w:eastAsia="zh-CN"/>
        </w:rPr>
      </w:pPr>
      <w:r>
        <w:rPr>
          <w:rFonts w:hint="eastAsia"/>
          <w:b/>
          <w:bCs/>
          <w:lang w:val="en-US" w:eastAsia="zh-CN"/>
        </w:rPr>
        <w:t>课程设置</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9"/>
        <w:gridCol w:w="340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3"/>
          </w:tcPr>
          <w:p>
            <w:pPr>
              <w:spacing w:line="360" w:lineRule="auto"/>
              <w:contextualSpacing/>
              <w:jc w:val="center"/>
              <w:rPr>
                <w:rFonts w:hint="eastAsia" w:cs="宋体" w:asciiTheme="minorEastAsia" w:hAnsiTheme="minorEastAsia" w:eastAsiaTheme="minorEastAsia"/>
                <w:b/>
                <w:sz w:val="24"/>
                <w:lang w:val="en-US" w:eastAsia="zh-CN"/>
              </w:rPr>
            </w:pPr>
            <w:r>
              <w:rPr>
                <w:rFonts w:hint="eastAsia" w:cs="宋体" w:asciiTheme="minorEastAsia" w:hAnsiTheme="minorEastAsia"/>
                <w:b/>
                <w:sz w:val="24"/>
                <w:lang w:val="en-US" w:eastAsia="zh-CN"/>
              </w:rPr>
              <w:t>工艺美术研究方向</w:t>
            </w:r>
            <w:r>
              <w:rPr>
                <w:rFonts w:hint="eastAsia" w:cs="宋体" w:asciiTheme="minorEastAsia" w:hAnsiTheme="minorEastAsia"/>
                <w:b/>
                <w:sz w:val="24"/>
              </w:rPr>
              <w:t>专业</w:t>
            </w:r>
            <w:r>
              <w:rPr>
                <w:rFonts w:hint="eastAsia" w:cs="宋体" w:asciiTheme="minorEastAsia" w:hAnsiTheme="minorEastAsia"/>
                <w:b/>
                <w:sz w:val="24"/>
                <w:lang w:val="en-US" w:eastAsia="zh-CN"/>
              </w:rPr>
              <w:t>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公共课程</w:t>
            </w:r>
          </w:p>
        </w:tc>
        <w:tc>
          <w:tcPr>
            <w:tcW w:w="3402" w:type="dxa"/>
          </w:tcPr>
          <w:p>
            <w:pPr>
              <w:spacing w:line="360" w:lineRule="auto"/>
              <w:contextualSpacing/>
              <w:jc w:val="center"/>
              <w:rPr>
                <w:rFonts w:hint="eastAsia" w:cs="宋体" w:asciiTheme="minorEastAsia" w:hAnsiTheme="minorEastAsia" w:eastAsiaTheme="minorEastAsia"/>
                <w:sz w:val="24"/>
                <w:lang w:val="en-US" w:eastAsia="zh-CN"/>
              </w:rPr>
            </w:pPr>
            <w:r>
              <w:rPr>
                <w:rFonts w:hint="eastAsia" w:cs="宋体" w:asciiTheme="minorEastAsia" w:hAnsiTheme="minorEastAsia"/>
                <w:sz w:val="24"/>
                <w:lang w:val="en-US" w:eastAsia="zh-CN"/>
              </w:rPr>
              <w:t>英语</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ascii="宋体" w:hAnsi="宋体"/>
                <w:szCs w:val="21"/>
                <w:lang w:val="en-US" w:eastAsia="zh-CN"/>
              </w:rPr>
              <w:t>社会主义经济理论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tcPr>
          <w:p>
            <w:pPr>
              <w:spacing w:line="360" w:lineRule="auto"/>
              <w:contextualSpacing/>
              <w:jc w:val="center"/>
              <w:rPr>
                <w:rFonts w:cs="宋体" w:asciiTheme="minorEastAsia" w:hAnsiTheme="minorEastAsia"/>
                <w:sz w:val="24"/>
              </w:rPr>
            </w:pPr>
          </w:p>
          <w:p>
            <w:pPr>
              <w:spacing w:line="360" w:lineRule="auto"/>
              <w:contextualSpacing/>
              <w:jc w:val="center"/>
              <w:rPr>
                <w:rFonts w:cs="宋体" w:asciiTheme="minorEastAsia" w:hAnsiTheme="minorEastAsia"/>
                <w:sz w:val="24"/>
              </w:rPr>
            </w:pPr>
          </w:p>
          <w:p>
            <w:pPr>
              <w:spacing w:line="360" w:lineRule="auto"/>
              <w:contextualSpacing/>
              <w:jc w:val="center"/>
              <w:rPr>
                <w:rFonts w:hint="eastAsia" w:cs="宋体" w:asciiTheme="minorEastAsia" w:hAnsiTheme="minorEastAsia" w:eastAsiaTheme="minorEastAsia"/>
                <w:sz w:val="24"/>
                <w:lang w:val="en-US" w:eastAsia="zh-CN"/>
              </w:rPr>
            </w:pPr>
            <w:r>
              <w:rPr>
                <w:rFonts w:hint="eastAsia" w:cs="宋体" w:asciiTheme="minorEastAsia" w:hAnsiTheme="minorEastAsia"/>
                <w:sz w:val="24"/>
              </w:rPr>
              <w:t>专业</w:t>
            </w:r>
            <w:r>
              <w:rPr>
                <w:rFonts w:hint="eastAsia" w:cs="宋体" w:asciiTheme="minorEastAsia" w:hAnsiTheme="minorEastAsia"/>
                <w:sz w:val="24"/>
                <w:lang w:val="en-US" w:eastAsia="zh-CN"/>
              </w:rPr>
              <w:t>课</w:t>
            </w: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设计基础</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艺术设计概论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设计艺术原理</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设计方法论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三维设计基础</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设计思维与方法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图形创意</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漆艺设计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陶艺设计</w:t>
            </w:r>
          </w:p>
        </w:tc>
        <w:tc>
          <w:tcPr>
            <w:tcW w:w="3311" w:type="dxa"/>
          </w:tcPr>
          <w:p>
            <w:pPr>
              <w:spacing w:line="360" w:lineRule="auto"/>
              <w:contextualSpacing/>
              <w:jc w:val="center"/>
              <w:rPr>
                <w:rFonts w:hint="default" w:cs="宋体" w:asciiTheme="minorEastAsia" w:hAnsiTheme="minorEastAsia" w:eastAsiaTheme="minorEastAsia"/>
                <w:sz w:val="24"/>
                <w:lang w:val="en-US" w:eastAsia="zh-CN"/>
              </w:rPr>
            </w:pPr>
            <w:r>
              <w:rPr>
                <w:rFonts w:hint="eastAsia" w:cs="宋体" w:asciiTheme="minorEastAsia" w:hAnsiTheme="minorEastAsia"/>
                <w:sz w:val="24"/>
                <w:lang w:val="en-US" w:eastAsia="zh-CN"/>
              </w:rPr>
              <w:t>综合材料实践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spacing w:line="360" w:lineRule="auto"/>
              <w:contextualSpacing/>
              <w:jc w:val="center"/>
              <w:rPr>
                <w:rFonts w:cs="宋体" w:asciiTheme="minorEastAsia" w:hAnsiTheme="minorEastAsia"/>
                <w:sz w:val="24"/>
              </w:rPr>
            </w:pPr>
          </w:p>
        </w:tc>
        <w:tc>
          <w:tcPr>
            <w:tcW w:w="3402" w:type="dxa"/>
          </w:tcPr>
          <w:p>
            <w:pPr>
              <w:spacing w:line="360" w:lineRule="auto"/>
              <w:contextualSpacing/>
              <w:jc w:val="center"/>
              <w:rPr>
                <w:rFonts w:hint="default" w:cs="宋体" w:asciiTheme="minorEastAsia" w:hAnsiTheme="minorEastAsia"/>
                <w:sz w:val="24"/>
                <w:lang w:val="en-US" w:eastAsia="zh-CN"/>
              </w:rPr>
            </w:pPr>
            <w:r>
              <w:rPr>
                <w:rFonts w:hint="eastAsia" w:cs="宋体" w:asciiTheme="minorEastAsia" w:hAnsiTheme="minorEastAsia"/>
                <w:sz w:val="24"/>
                <w:lang w:val="en-US" w:eastAsia="zh-CN"/>
              </w:rPr>
              <w:t>造型基础</w:t>
            </w:r>
          </w:p>
        </w:tc>
        <w:tc>
          <w:tcPr>
            <w:tcW w:w="3311" w:type="dxa"/>
          </w:tcPr>
          <w:p>
            <w:pPr>
              <w:spacing w:line="360" w:lineRule="auto"/>
              <w:contextualSpacing/>
              <w:jc w:val="center"/>
              <w:rPr>
                <w:rFonts w:hint="default" w:cs="宋体" w:asciiTheme="minorEastAsia" w:hAnsiTheme="minorEastAsia"/>
                <w:sz w:val="24"/>
                <w:lang w:val="en-US" w:eastAsia="zh-CN"/>
              </w:rPr>
            </w:pPr>
            <w:r>
              <w:rPr>
                <w:rFonts w:hint="eastAsia" w:cs="宋体" w:asciiTheme="minorEastAsia" w:hAnsiTheme="minorEastAsia"/>
                <w:sz w:val="24"/>
                <w:lang w:val="en-US" w:eastAsia="zh-CN"/>
              </w:rPr>
              <w:t>首饰工艺</w:t>
            </w:r>
          </w:p>
        </w:tc>
      </w:tr>
    </w:tbl>
    <w:p>
      <w:pPr>
        <w:widowControl w:val="0"/>
        <w:numPr>
          <w:ilvl w:val="0"/>
          <w:numId w:val="0"/>
        </w:numPr>
        <w:jc w:val="both"/>
        <w:rPr>
          <w:rFonts w:hint="eastAsia"/>
          <w:b/>
          <w:bCs/>
          <w:lang w:val="en-US" w:eastAsia="zh-CN"/>
        </w:rPr>
      </w:pPr>
    </w:p>
    <w:p>
      <w:pPr>
        <w:pStyle w:val="4"/>
        <w:snapToGrid w:val="0"/>
        <w:spacing w:line="360" w:lineRule="auto"/>
        <w:ind w:firstLine="2730" w:firstLineChars="1300"/>
        <w:contextualSpacing/>
        <w:rPr>
          <w:rFonts w:hint="eastAsia"/>
          <w:sz w:val="21"/>
          <w:szCs w:val="21"/>
          <w:lang w:val="en-US" w:eastAsia="zh-CN"/>
        </w:rPr>
      </w:pPr>
      <w:r>
        <w:rPr>
          <w:rFonts w:hint="eastAsia"/>
          <w:sz w:val="21"/>
          <w:szCs w:val="21"/>
        </w:rPr>
        <w:t>注：部分课程教学参照</w:t>
      </w:r>
      <w:r>
        <w:rPr>
          <w:rFonts w:hint="eastAsia"/>
          <w:sz w:val="21"/>
          <w:szCs w:val="21"/>
          <w:lang w:val="en-US" w:eastAsia="zh-CN"/>
        </w:rPr>
        <w:t>实际</w:t>
      </w: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报考条件</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拥护《中华人民共和国宪法》，遵守法律、法规，品行端正。</w:t>
      </w:r>
    </w:p>
    <w:p>
      <w:pPr>
        <w:pStyle w:val="4"/>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0" w:leftChars="0" w:right="0" w:rightChars="0" w:firstLine="420" w:firstLineChars="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具有大学本科学历，获得学士学位，并获得学士学位后工作三年以上（含三年），或虽无学士学位但已获得硕士或博士学位者。对已获得的学士、硕士或博士学位为国（境）外学位的，其所获的国（境）外学位需经教育部留学服务中心认证。</w:t>
      </w:r>
    </w:p>
    <w:p>
      <w:pPr>
        <w:pStyle w:val="4"/>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pacing w:before="0" w:beforeAutospacing="0" w:after="0" w:afterAutospacing="0" w:line="360" w:lineRule="auto"/>
        <w:ind w:left="420" w:leftChars="0" w:right="0" w:rightChars="0"/>
        <w:jc w:val="both"/>
        <w:textAlignment w:val="auto"/>
        <w:rPr>
          <w:rFonts w:hint="eastAsia" w:asciiTheme="minorEastAsia" w:hAnsiTheme="minorEastAsia" w:eastAsiaTheme="minorEastAsia" w:cstheme="minorEastAsia"/>
          <w:b w:val="0"/>
          <w:bCs w:val="0"/>
          <w:kern w:val="2"/>
          <w:sz w:val="21"/>
          <w:szCs w:val="21"/>
          <w:lang w:val="en-US" w:eastAsia="zh-CN" w:bidi="ar-SA"/>
        </w:rPr>
      </w:pPr>
      <w:r>
        <w:rPr>
          <w:rFonts w:hint="eastAsia" w:asciiTheme="minorEastAsia" w:hAnsiTheme="minorEastAsia" w:eastAsiaTheme="minorEastAsia" w:cstheme="minorEastAsia"/>
          <w:b w:val="0"/>
          <w:bCs w:val="0"/>
          <w:kern w:val="2"/>
          <w:sz w:val="21"/>
          <w:szCs w:val="21"/>
          <w:lang w:val="en-US" w:eastAsia="zh-CN" w:bidi="ar-SA"/>
        </w:rPr>
        <w:t>3、有一定专业基础，并在申请学位专业或相近专业的工作中做出成绩。</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报名材料</w:t>
      </w:r>
    </w:p>
    <w:p>
      <w:pPr>
        <w:pStyle w:val="4"/>
        <w:keepNext w:val="0"/>
        <w:keepLines w:val="0"/>
        <w:pageBreakBefore w:val="0"/>
        <w:numPr>
          <w:ilvl w:val="0"/>
          <w:numId w:val="3"/>
        </w:numPr>
        <w:kinsoku/>
        <w:wordWrap/>
        <w:overflowPunct/>
        <w:topLinePunct w:val="0"/>
        <w:autoSpaceDE/>
        <w:autoSpaceDN/>
        <w:bidi w:val="0"/>
        <w:adjustRightInd/>
        <w:snapToGrid w:val="0"/>
        <w:spacing w:beforeAutospacing="0" w:afterAutospacing="0" w:line="360" w:lineRule="auto"/>
        <w:ind w:left="360" w:leftChars="0" w:firstLine="0" w:firstLineChars="0"/>
        <w:contextualSpacing/>
        <w:textAlignment w:val="auto"/>
        <w:rPr>
          <w:rFonts w:hint="eastAsia" w:asciiTheme="minorEastAsia" w:hAnsiTheme="minorEastAsia" w:eastAsiaTheme="minorEastAsia" w:cstheme="minorEastAsia"/>
          <w:color w:val="000000" w:themeColor="text1"/>
          <w:sz w:val="21"/>
          <w:szCs w:val="21"/>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填写南昌航空大学同等学力申硕班报名登记表；</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left="360" w:leftChars="0" w:right="0" w:rightChars="0"/>
        <w:contextualSpacing/>
        <w:textAlignment w:val="auto"/>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14:textFill>
            <w14:solidFill>
              <w14:schemeClr w14:val="tx1"/>
            </w14:solidFill>
          </w14:textFill>
        </w:rPr>
        <w:t>2、学历、学位证书电子版；</w:t>
      </w:r>
      <w:r>
        <w:rPr>
          <w:rFonts w:hint="eastAsia" w:asciiTheme="minorEastAsia" w:hAnsiTheme="minorEastAsia" w:eastAsiaTheme="minorEastAsia" w:cstheme="minorEastAsia"/>
          <w:color w:val="000000" w:themeColor="text1"/>
          <w:sz w:val="21"/>
          <w:szCs w:val="21"/>
          <w14:textFill>
            <w14:solidFill>
              <w14:schemeClr w14:val="tx1"/>
            </w14:solidFill>
          </w14:textFill>
        </w:rPr>
        <w:br w:type="textWrapping"/>
      </w:r>
      <w:r>
        <w:rPr>
          <w:rFonts w:hint="eastAsia" w:asciiTheme="minorEastAsia" w:hAnsiTheme="minorEastAsia" w:eastAsiaTheme="minorEastAsia" w:cstheme="minorEastAsia"/>
          <w:color w:val="000000" w:themeColor="text1"/>
          <w:sz w:val="21"/>
          <w:szCs w:val="21"/>
          <w14:textFill>
            <w14:solidFill>
              <w14:schemeClr w14:val="tx1"/>
            </w14:solidFill>
          </w14:textFill>
        </w:rPr>
        <w:t>3、身份证正反电子版</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1"/>
          <w:szCs w:val="21"/>
          <w14:textFill>
            <w14:solidFill>
              <w14:schemeClr w14:val="tx1"/>
            </w14:solidFill>
          </w14:textFill>
        </w:rPr>
        <w:br w:type="textWrapping"/>
      </w:r>
      <w:r>
        <w:rPr>
          <w:rFonts w:hint="eastAsia" w:asciiTheme="minorEastAsia" w:hAnsiTheme="minorEastAsia" w:eastAsiaTheme="minorEastAsia" w:cstheme="minorEastAsia"/>
          <w:color w:val="000000" w:themeColor="text1"/>
          <w:sz w:val="21"/>
          <w:szCs w:val="21"/>
          <w14:textFill>
            <w14:solidFill>
              <w14:schemeClr w14:val="tx1"/>
            </w14:solidFill>
          </w14:textFill>
        </w:rPr>
        <w:t>4、二寸蓝底寸照电子版</w:t>
      </w:r>
      <w:r>
        <w:rPr>
          <w:rFonts w:hint="eastAsia" w:asciiTheme="minorEastAsia" w:hAnsiTheme="minorEastAsia" w:eastAsiaTheme="minorEastAsia" w:cstheme="minorEastAsia"/>
          <w:color w:val="000000" w:themeColor="text1"/>
          <w:sz w:val="21"/>
          <w:szCs w:val="21"/>
          <w:lang w:eastAsia="zh-CN"/>
          <w14:textFill>
            <w14:solidFill>
              <w14:schemeClr w14:val="tx1"/>
            </w14:solidFill>
          </w14:textFill>
        </w:rPr>
        <w:t>。</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培养方式</w:t>
      </w:r>
    </w:p>
    <w:p>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360" w:lineRule="auto"/>
        <w:jc w:val="both"/>
        <w:textAlignment w:val="auto"/>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1"/>
          <w:szCs w:val="21"/>
          <w:lang w:val="en-US" w:eastAsia="zh-CN"/>
          <w14:textFill>
            <w14:solidFill>
              <w14:schemeClr w14:val="tx1"/>
            </w14:solidFill>
          </w14:textFill>
        </w:rPr>
        <w:t xml:space="preserve">    </w:t>
      </w:r>
      <w:r>
        <w:rPr>
          <w:rFonts w:hint="eastAsia" w:asciiTheme="minorEastAsia" w:hAnsiTheme="minorEastAsia" w:eastAsiaTheme="minorEastAsia" w:cstheme="minorEastAsia"/>
          <w:b w:val="0"/>
          <w:bCs w:val="0"/>
          <w:color w:val="000000" w:themeColor="text1"/>
          <w:sz w:val="21"/>
          <w:szCs w:val="21"/>
          <w:lang w:val="en-US" w:eastAsia="zh-CN"/>
          <w14:textFill>
            <w14:solidFill>
              <w14:schemeClr w14:val="tx1"/>
            </w14:solidFill>
          </w14:textFill>
        </w:rPr>
        <w:t>1、学制：1.5年</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60" w:lineRule="auto"/>
        <w:ind w:left="0" w:right="0" w:firstLine="420"/>
        <w:jc w:val="both"/>
        <w:textAlignment w:val="auto"/>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pPr>
      <w:r>
        <w:rPr>
          <w:rFonts w:hint="eastAsia" w:asciiTheme="minorEastAsia" w:hAnsiTheme="minorEastAsia" w:eastAsiaTheme="minorEastAsia" w:cstheme="minorEastAsia"/>
          <w:color w:val="000000" w:themeColor="text1"/>
          <w:kern w:val="0"/>
          <w:sz w:val="21"/>
          <w:szCs w:val="21"/>
          <w:lang w:val="en-US" w:eastAsia="zh-CN" w:bidi="ar"/>
          <w14:textFill>
            <w14:solidFill>
              <w14:schemeClr w14:val="tx1"/>
            </w14:solidFill>
          </w14:textFill>
        </w:rPr>
        <w:t>2、学习方式：在职不脱产，线上授课</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收费标准</w:t>
      </w:r>
    </w:p>
    <w:p>
      <w:pPr>
        <w:keepNext w:val="0"/>
        <w:keepLines w:val="0"/>
        <w:pageBreakBefore w:val="0"/>
        <w:widowControl w:val="0"/>
        <w:numPr>
          <w:ilvl w:val="0"/>
          <w:numId w:val="4"/>
        </w:numPr>
        <w:kinsoku/>
        <w:wordWrap/>
        <w:overflowPunct/>
        <w:topLinePunct w:val="0"/>
        <w:autoSpaceDE/>
        <w:autoSpaceDN/>
        <w:bidi w:val="0"/>
        <w:adjustRightInd/>
        <w:spacing w:beforeAutospacing="0" w:afterAutospacing="0" w:line="360" w:lineRule="auto"/>
        <w:ind w:left="420" w:leftChars="200" w:firstLine="0" w:firstLineChars="0"/>
        <w:jc w:val="both"/>
        <w:textAlignment w:val="auto"/>
        <w:rPr>
          <w:rFonts w:hint="eastAsia" w:asciiTheme="minorEastAsia" w:hAnsiTheme="minorEastAsia" w:eastAsiaTheme="minorEastAsia" w:cstheme="minorEastAsia"/>
          <w:kern w:val="0"/>
          <w:sz w:val="21"/>
          <w:szCs w:val="21"/>
          <w:lang w:val="en-US" w:eastAsia="zh-CN" w:bidi="ar"/>
        </w:rPr>
      </w:pPr>
      <w:r>
        <w:rPr>
          <w:rFonts w:hint="eastAsia" w:asciiTheme="minorEastAsia" w:hAnsiTheme="minorEastAsia" w:eastAsiaTheme="minorEastAsia" w:cstheme="minorEastAsia"/>
          <w:kern w:val="0"/>
          <w:sz w:val="21"/>
          <w:szCs w:val="21"/>
          <w:lang w:val="en-US" w:eastAsia="zh-CN" w:bidi="ar"/>
        </w:rPr>
        <w:t>第一阶段（课程学费）：12800元；</w:t>
      </w:r>
      <w:r>
        <w:rPr>
          <w:rFonts w:hint="eastAsia" w:asciiTheme="minorEastAsia" w:hAnsiTheme="minorEastAsia" w:eastAsiaTheme="minorEastAsia" w:cstheme="minorEastAsia"/>
          <w:kern w:val="0"/>
          <w:sz w:val="21"/>
          <w:szCs w:val="21"/>
          <w:lang w:val="en-US" w:eastAsia="zh-CN" w:bidi="ar"/>
        </w:rPr>
        <w:br w:type="textWrapping"/>
      </w:r>
      <w:r>
        <w:rPr>
          <w:rFonts w:hint="eastAsia" w:asciiTheme="minorEastAsia" w:hAnsiTheme="minorEastAsia" w:eastAsiaTheme="minorEastAsia" w:cstheme="minorEastAsia"/>
          <w:kern w:val="0"/>
          <w:sz w:val="21"/>
          <w:szCs w:val="21"/>
          <w:lang w:val="en-US" w:eastAsia="zh-CN" w:bidi="ar"/>
        </w:rPr>
        <w:t>2、第二阶段（学位论文指导、学位申请相关费用）：6800元。</w:t>
      </w:r>
    </w:p>
    <w:p>
      <w:pPr>
        <w:keepNext w:val="0"/>
        <w:keepLines w:val="0"/>
        <w:pageBreakBefore w:val="0"/>
        <w:widowControl w:val="0"/>
        <w:numPr>
          <w:ilvl w:val="0"/>
          <w:numId w:val="0"/>
        </w:numPr>
        <w:kinsoku/>
        <w:wordWrap/>
        <w:overflowPunct/>
        <w:topLinePunct w:val="0"/>
        <w:autoSpaceDE/>
        <w:autoSpaceDN/>
        <w:bidi w:val="0"/>
        <w:adjustRightInd/>
        <w:spacing w:beforeAutospacing="0" w:afterAutospacing="0" w:line="360" w:lineRule="auto"/>
        <w:ind w:leftChars="200"/>
        <w:jc w:val="both"/>
        <w:textAlignment w:val="auto"/>
        <w:rPr>
          <w:rFonts w:hint="eastAsia" w:asciiTheme="minorEastAsia" w:hAnsiTheme="minorEastAsia" w:eastAsiaTheme="minorEastAsia" w:cstheme="minorEastAsia"/>
          <w:kern w:val="0"/>
          <w:sz w:val="21"/>
          <w:szCs w:val="21"/>
          <w:lang w:val="en-US" w:eastAsia="zh-CN" w:bidi="ar"/>
        </w:rPr>
      </w:pPr>
    </w:p>
    <w:p>
      <w:pPr>
        <w:keepNext w:val="0"/>
        <w:keepLines w:val="0"/>
        <w:pageBreakBefore w:val="0"/>
        <w:numPr>
          <w:ilvl w:val="0"/>
          <w:numId w:val="1"/>
        </w:numPr>
        <w:kinsoku/>
        <w:wordWrap/>
        <w:overflowPunct/>
        <w:topLinePunct w:val="0"/>
        <w:autoSpaceDE/>
        <w:autoSpaceDN/>
        <w:bidi w:val="0"/>
        <w:adjustRightInd/>
        <w:spacing w:beforeAutospacing="0" w:afterAutospacing="0" w:line="360" w:lineRule="auto"/>
        <w:jc w:val="both"/>
        <w:textAlignment w:val="auto"/>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获取证书</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1、</w:t>
      </w:r>
      <w:r>
        <w:rPr>
          <w:rFonts w:hint="eastAsia" w:asciiTheme="minorEastAsia" w:hAnsiTheme="minorEastAsia" w:eastAsiaTheme="minorEastAsia" w:cstheme="minorEastAsia"/>
          <w:sz w:val="21"/>
          <w:szCs w:val="21"/>
        </w:rPr>
        <w:t>学员按教学计划完成全部课程学习且考试合格者，颁发</w:t>
      </w:r>
      <w:r>
        <w:rPr>
          <w:rFonts w:hint="eastAsia" w:asciiTheme="minorEastAsia" w:hAnsiTheme="minorEastAsia" w:eastAsiaTheme="minorEastAsia" w:cstheme="minorEastAsia"/>
          <w:sz w:val="21"/>
          <w:szCs w:val="21"/>
          <w:lang w:val="en-US" w:eastAsia="zh-CN"/>
        </w:rPr>
        <w:t>南昌航空</w:t>
      </w:r>
      <w:r>
        <w:rPr>
          <w:rFonts w:hint="eastAsia" w:asciiTheme="minorEastAsia" w:hAnsiTheme="minorEastAsia" w:eastAsiaTheme="minorEastAsia" w:cstheme="minorEastAsia"/>
          <w:sz w:val="21"/>
          <w:szCs w:val="21"/>
        </w:rPr>
        <w:t>大学</w:t>
      </w:r>
      <w:r>
        <w:rPr>
          <w:rFonts w:hint="eastAsia" w:asciiTheme="minorEastAsia" w:hAnsiTheme="minorEastAsia" w:eastAsiaTheme="minorEastAsia" w:cstheme="minorEastAsia"/>
          <w:sz w:val="21"/>
          <w:szCs w:val="21"/>
          <w:lang w:val="en-US" w:eastAsia="zh-CN"/>
        </w:rPr>
        <w:t>设计学</w:t>
      </w:r>
      <w:r>
        <w:rPr>
          <w:rFonts w:hint="eastAsia" w:asciiTheme="minorEastAsia" w:hAnsiTheme="minorEastAsia" w:eastAsiaTheme="minorEastAsia" w:cstheme="minorEastAsia"/>
          <w:sz w:val="21"/>
          <w:szCs w:val="21"/>
        </w:rPr>
        <w:t>专业结业证书。</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具有学士学位的学员且完成专业全部课程学习，通过同等学力申硕全国统一考试后，可申请进入硕士学位论文撰写阶段</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rPr>
        <w:t xml:space="preserve">通过同等学力水平认定，经我校学位委员会批准，授予颁发硕士学位证书。 </w:t>
      </w:r>
    </w:p>
    <w:p>
      <w:pPr>
        <w:pStyle w:val="4"/>
        <w:keepNext w:val="0"/>
        <w:keepLines w:val="0"/>
        <w:pageBreakBefore w:val="0"/>
        <w:numPr>
          <w:ilvl w:val="0"/>
          <w:numId w:val="0"/>
        </w:numPr>
        <w:kinsoku/>
        <w:wordWrap/>
        <w:overflowPunct/>
        <w:topLinePunct w:val="0"/>
        <w:autoSpaceDE/>
        <w:autoSpaceDN/>
        <w:bidi w:val="0"/>
        <w:adjustRightInd/>
        <w:snapToGrid w:val="0"/>
        <w:spacing w:beforeAutospacing="0" w:afterAutospacing="0" w:line="360" w:lineRule="auto"/>
        <w:ind w:firstLine="420" w:firstLineChars="200"/>
        <w:contextualSpacing/>
        <w:textAlignment w:val="auto"/>
        <w:rPr>
          <w:rFonts w:hint="eastAsia" w:asciiTheme="minorEastAsia" w:hAnsiTheme="minorEastAsia" w:eastAsiaTheme="minorEastAsia" w:cstheme="minorEastAsia"/>
          <w:sz w:val="21"/>
          <w:szCs w:val="21"/>
          <w:lang w:val="en-US" w:eastAsia="zh-CN"/>
        </w:rPr>
      </w:pPr>
    </w:p>
    <w:p>
      <w:pPr>
        <w:pStyle w:val="4"/>
        <w:keepNext w:val="0"/>
        <w:keepLines w:val="0"/>
        <w:pageBreakBefore w:val="0"/>
        <w:kinsoku/>
        <w:wordWrap/>
        <w:overflowPunct/>
        <w:topLinePunct w:val="0"/>
        <w:autoSpaceDE/>
        <w:autoSpaceDN/>
        <w:bidi w:val="0"/>
        <w:adjustRightInd/>
        <w:snapToGrid w:val="0"/>
        <w:spacing w:beforeAutospacing="0" w:afterAutospacing="0" w:line="360" w:lineRule="auto"/>
        <w:contextualSpacing/>
        <w:textAlignment w:val="auto"/>
        <w:rPr>
          <w:rFonts w:hint="eastAsia" w:asciiTheme="minorEastAsia" w:hAnsiTheme="minorEastAsia" w:eastAsiaTheme="minorEastAsia" w:cstheme="minorEastAsia"/>
          <w:b/>
          <w:bCs/>
          <w:sz w:val="21"/>
          <w:szCs w:val="21"/>
          <w:lang w:val="en-US" w:eastAsia="zh-CN"/>
        </w:rPr>
      </w:pPr>
    </w:p>
    <w:p>
      <w:pPr>
        <w:pStyle w:val="4"/>
        <w:snapToGrid w:val="0"/>
        <w:spacing w:line="360" w:lineRule="auto"/>
        <w:ind w:firstLine="482" w:firstLineChars="200"/>
        <w:contextualSpacing/>
        <w:rPr>
          <w:rFonts w:hint="default"/>
          <w:b/>
          <w:bCs/>
          <w:lang w:val="en-US" w:eastAsia="zh-CN"/>
        </w:rPr>
      </w:pPr>
    </w:p>
    <w:p>
      <w:pPr>
        <w:pStyle w:val="4"/>
        <w:snapToGrid w:val="0"/>
        <w:spacing w:line="360" w:lineRule="auto"/>
        <w:ind w:firstLine="482" w:firstLineChars="200"/>
        <w:contextualSpacing/>
        <w:rPr>
          <w:rFonts w:hint="default"/>
          <w:b/>
          <w:bCs/>
          <w:lang w:val="en-US" w:eastAsia="zh-CN"/>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426710"/>
          <wp:effectExtent l="0" t="0" r="2540" b="2540"/>
          <wp:wrapNone/>
          <wp:docPr id="1" name="WordPictureWatermark13455" descr="南昌航空大学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3455" descr="南昌航空大学logo"/>
                  <pic:cNvPicPr>
                    <a:picLocks noChangeAspect="1"/>
                  </pic:cNvPicPr>
                </pic:nvPicPr>
                <pic:blipFill>
                  <a:blip r:embed="rId1">
                    <a:lum bright="69998" contrast="-70001"/>
                  </a:blip>
                  <a:stretch>
                    <a:fillRect/>
                  </a:stretch>
                </pic:blipFill>
                <pic:spPr>
                  <a:xfrm>
                    <a:off x="0" y="0"/>
                    <a:ext cx="5274310" cy="542671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D6361A"/>
    <w:multiLevelType w:val="singleLevel"/>
    <w:tmpl w:val="A2D6361A"/>
    <w:lvl w:ilvl="0" w:tentative="0">
      <w:start w:val="1"/>
      <w:numFmt w:val="chineseCounting"/>
      <w:suff w:val="nothing"/>
      <w:lvlText w:val="%1、"/>
      <w:lvlJc w:val="left"/>
      <w:rPr>
        <w:rFonts w:hint="eastAsia"/>
      </w:rPr>
    </w:lvl>
  </w:abstractNum>
  <w:abstractNum w:abstractNumId="1">
    <w:nsid w:val="BF769E9C"/>
    <w:multiLevelType w:val="singleLevel"/>
    <w:tmpl w:val="BF769E9C"/>
    <w:lvl w:ilvl="0" w:tentative="0">
      <w:start w:val="1"/>
      <w:numFmt w:val="decimal"/>
      <w:suff w:val="nothing"/>
      <w:lvlText w:val="%1、"/>
      <w:lvlJc w:val="left"/>
      <w:pPr>
        <w:ind w:left="360" w:leftChars="0" w:firstLine="0" w:firstLineChars="0"/>
      </w:pPr>
    </w:lvl>
  </w:abstractNum>
  <w:abstractNum w:abstractNumId="2">
    <w:nsid w:val="0A11893D"/>
    <w:multiLevelType w:val="singleLevel"/>
    <w:tmpl w:val="0A11893D"/>
    <w:lvl w:ilvl="0" w:tentative="0">
      <w:start w:val="1"/>
      <w:numFmt w:val="decimal"/>
      <w:suff w:val="nothing"/>
      <w:lvlText w:val="%1、"/>
      <w:lvlJc w:val="left"/>
    </w:lvl>
  </w:abstractNum>
  <w:abstractNum w:abstractNumId="3">
    <w:nsid w:val="2058ACD2"/>
    <w:multiLevelType w:val="singleLevel"/>
    <w:tmpl w:val="2058ACD2"/>
    <w:lvl w:ilvl="0" w:tentative="0">
      <w:start w:val="1"/>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4006EC"/>
    <w:rsid w:val="07A13ED8"/>
    <w:rsid w:val="130664D3"/>
    <w:rsid w:val="1B03607B"/>
    <w:rsid w:val="1FF71F26"/>
    <w:rsid w:val="214006EC"/>
    <w:rsid w:val="24D308EB"/>
    <w:rsid w:val="313A538F"/>
    <w:rsid w:val="372E4027"/>
    <w:rsid w:val="46443490"/>
    <w:rsid w:val="4B1300D7"/>
    <w:rsid w:val="4EC34BAC"/>
    <w:rsid w:val="4EE03090"/>
    <w:rsid w:val="50984667"/>
    <w:rsid w:val="5B3226CB"/>
    <w:rsid w:val="5BF57AD8"/>
    <w:rsid w:val="65A32087"/>
    <w:rsid w:val="6F064C35"/>
    <w:rsid w:val="76142A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1529</Words>
  <Characters>1554</Characters>
  <Lines>0</Lines>
  <Paragraphs>0</Paragraphs>
  <TotalTime>0</TotalTime>
  <ScaleCrop>false</ScaleCrop>
  <LinksUpToDate>false</LinksUpToDate>
  <CharactersWithSpaces>1559</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2022-03-10T01:27:00Z</dcterms:created>
  <dc:creator>Administrator</dc:creator>
  <cp:lastModifiedBy>冰冰⊙▽⊙＊</cp:lastModifiedBy>
  <dcterms:modified xsi:type="dcterms:W3CDTF">2022-05-18T08:36:48Z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570CE578DF854B4CA5517AEDFAEC578F</vt:lpwstr>
  </property>
</Properties>
</file>