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620"/>
        </w:tabs>
        <w:spacing w:line="600" w:lineRule="auto"/>
        <w:rPr>
          <w:rFonts w:ascii="宋体" w:hAnsi="宋体"/>
          <w:b/>
          <w:sz w:val="44"/>
          <w:szCs w:val="32"/>
        </w:rPr>
      </w:pPr>
    </w:p>
    <w:p>
      <w:pPr>
        <w:tabs>
          <w:tab w:val="left" w:pos="1620"/>
        </w:tabs>
        <w:spacing w:line="600" w:lineRule="auto"/>
        <w:jc w:val="center"/>
        <w:rPr>
          <w:rFonts w:ascii="宋体" w:hAnsi="宋体"/>
          <w:b/>
          <w:sz w:val="44"/>
          <w:szCs w:val="32"/>
        </w:rPr>
      </w:pPr>
      <w:r>
        <w:rPr>
          <w:rFonts w:hint="eastAsia" w:ascii="宋体" w:hAnsi="宋体"/>
          <w:b/>
          <w:sz w:val="44"/>
          <w:szCs w:val="32"/>
        </w:rPr>
        <w:t>资产证券化实战特训班</w:t>
      </w:r>
    </w:p>
    <w:p>
      <w:pPr>
        <w:tabs>
          <w:tab w:val="left" w:pos="1620"/>
        </w:tabs>
        <w:spacing w:line="600" w:lineRule="auto"/>
        <w:jc w:val="center"/>
        <w:rPr>
          <w:rFonts w:ascii="宋体" w:hAnsi="宋体"/>
          <w:b/>
          <w:sz w:val="44"/>
          <w:szCs w:val="32"/>
        </w:rPr>
      </w:pPr>
    </w:p>
    <w:p>
      <w:pPr>
        <w:tabs>
          <w:tab w:val="left" w:pos="1620"/>
        </w:tabs>
        <w:spacing w:line="600" w:lineRule="auto"/>
        <w:rPr>
          <w:b/>
          <w:sz w:val="36"/>
          <w:szCs w:val="36"/>
        </w:rPr>
      </w:pPr>
      <w:r>
        <w:rPr>
          <w:rFonts w:hint="eastAsia" w:ascii="宋体" w:hAnsi="宋体"/>
          <w:b/>
          <w:sz w:val="24"/>
        </w:rPr>
        <w:t>【项目背景】</w:t>
      </w:r>
      <w:r>
        <w:rPr>
          <w:rFonts w:hint="eastAsia"/>
          <w:b/>
          <w:sz w:val="36"/>
          <w:szCs w:val="36"/>
        </w:rPr>
        <w:t xml:space="preserve"> </w:t>
      </w:r>
    </w:p>
    <w:p>
      <w:pPr>
        <w:tabs>
          <w:tab w:val="left" w:pos="1620"/>
        </w:tabs>
        <w:spacing w:line="600" w:lineRule="auto"/>
        <w:ind w:firstLine="480" w:firstLineChars="200"/>
        <w:rPr>
          <w:rFonts w:ascii="宋体" w:hAnsi="宋体"/>
          <w:kern w:val="0"/>
          <w:sz w:val="24"/>
          <w:szCs w:val="21"/>
        </w:rPr>
      </w:pPr>
      <w:r>
        <w:rPr>
          <w:rFonts w:ascii="宋体" w:hAnsi="宋体"/>
          <w:kern w:val="0"/>
          <w:sz w:val="24"/>
          <w:szCs w:val="21"/>
        </w:rPr>
        <w:t>从2005年中国开展资产证券化试点以来，尤其是2012年第三次试点重启，中国的资产证券化市场发展迅速，是未来银行、保险、信托、券商、基金等各大资</w:t>
      </w:r>
      <w:r>
        <w:rPr>
          <w:rFonts w:hint="eastAsia" w:ascii="宋体" w:hAnsi="宋体"/>
          <w:kern w:val="0"/>
          <w:sz w:val="24"/>
          <w:szCs w:val="21"/>
        </w:rPr>
        <w:t>金管理</w:t>
      </w:r>
      <w:r>
        <w:rPr>
          <w:rFonts w:ascii="宋体" w:hAnsi="宋体"/>
          <w:kern w:val="0"/>
          <w:sz w:val="24"/>
          <w:szCs w:val="21"/>
        </w:rPr>
        <w:t>行业发展的共同重要方向。截至2014年底，资产证券化的发行规模逾3000亿。2014年底，银监会和证监会分别发文，决定资产证券化由审批制改为备案制，资产证券化有望进一步爆发，这一新兴</w:t>
      </w:r>
      <w:r>
        <w:rPr>
          <w:rFonts w:hint="eastAsia" w:ascii="宋体" w:hAnsi="宋体"/>
          <w:kern w:val="0"/>
          <w:sz w:val="24"/>
          <w:szCs w:val="21"/>
        </w:rPr>
        <w:t>融资</w:t>
      </w:r>
      <w:r>
        <w:rPr>
          <w:rFonts w:ascii="宋体" w:hAnsi="宋体"/>
          <w:kern w:val="0"/>
          <w:sz w:val="24"/>
          <w:szCs w:val="21"/>
        </w:rPr>
        <w:t>模式再次吸引了市场的广泛关注。</w:t>
      </w:r>
    </w:p>
    <w:p>
      <w:pPr>
        <w:tabs>
          <w:tab w:val="left" w:pos="1620"/>
        </w:tabs>
        <w:spacing w:line="600" w:lineRule="auto"/>
        <w:ind w:firstLine="480" w:firstLineChars="200"/>
        <w:rPr>
          <w:rFonts w:ascii="宋体" w:hAnsi="宋体"/>
          <w:kern w:val="0"/>
          <w:sz w:val="24"/>
          <w:szCs w:val="21"/>
        </w:rPr>
      </w:pPr>
      <w:r>
        <w:rPr>
          <w:rFonts w:ascii="宋体" w:hAnsi="宋体"/>
          <w:kern w:val="0"/>
          <w:sz w:val="24"/>
          <w:szCs w:val="21"/>
        </w:rPr>
        <w:t>资产证券化实质上是一个通过特殊的结构设计制造固定收益型证券产品的过程，是企业单位或金融机构将其未来能够产生稳定现金收益的资产加以组合并据此发行证券筹措资金的过程和技术。</w:t>
      </w:r>
      <w:r>
        <w:rPr>
          <w:rFonts w:hint="eastAsia" w:ascii="宋体" w:hAnsi="宋体"/>
          <w:kern w:val="0"/>
          <w:sz w:val="24"/>
          <w:szCs w:val="21"/>
        </w:rPr>
        <w:t>企业资产证券化能有效</w:t>
      </w:r>
      <w:r>
        <w:rPr>
          <w:rFonts w:ascii="宋体" w:hAnsi="宋体"/>
          <w:kern w:val="0"/>
          <w:sz w:val="24"/>
          <w:szCs w:val="21"/>
        </w:rPr>
        <w:t>加强</w:t>
      </w:r>
      <w:r>
        <w:rPr>
          <w:rFonts w:hint="eastAsia" w:ascii="宋体" w:hAnsi="宋体"/>
          <w:kern w:val="0"/>
          <w:sz w:val="24"/>
          <w:szCs w:val="21"/>
        </w:rPr>
        <w:t>发行企业或金融机构的</w:t>
      </w:r>
      <w:r>
        <w:rPr>
          <w:rFonts w:ascii="宋体" w:hAnsi="宋体"/>
          <w:kern w:val="0"/>
          <w:sz w:val="24"/>
          <w:szCs w:val="21"/>
        </w:rPr>
        <w:t>资本流动性、改善资本结构、降低企业融资成本、分散信贷风险。</w:t>
      </w:r>
      <w:r>
        <w:rPr>
          <w:rFonts w:hint="eastAsia" w:ascii="宋体" w:hAnsi="宋体"/>
          <w:kern w:val="0"/>
          <w:sz w:val="24"/>
          <w:szCs w:val="21"/>
        </w:rPr>
        <w:t>而资产证券化发行的</w:t>
      </w:r>
      <w:r>
        <w:rPr>
          <w:rFonts w:ascii="宋体" w:hAnsi="宋体"/>
          <w:kern w:val="0"/>
          <w:sz w:val="24"/>
          <w:szCs w:val="21"/>
        </w:rPr>
        <w:t>多样性与结构的灵活性是</w:t>
      </w:r>
      <w:r>
        <w:fldChar w:fldCharType="begin"/>
      </w:r>
      <w:r>
        <w:instrText xml:space="preserve">HYPERLINK "http://baike.baidu.com/view/11062.htm" \t "_blank" </w:instrText>
      </w:r>
      <w:r>
        <w:fldChar w:fldCharType="separate"/>
      </w:r>
      <w:r>
        <w:rPr>
          <w:rFonts w:ascii="宋体" w:hAnsi="宋体"/>
          <w:kern w:val="0"/>
          <w:sz w:val="24"/>
        </w:rPr>
        <w:t>资产证券化</w:t>
      </w:r>
      <w:r>
        <w:fldChar w:fldCharType="end"/>
      </w:r>
      <w:r>
        <w:rPr>
          <w:rFonts w:ascii="宋体" w:hAnsi="宋体"/>
          <w:kern w:val="0"/>
          <w:sz w:val="24"/>
          <w:szCs w:val="21"/>
        </w:rPr>
        <w:t>的优良特性，也是</w:t>
      </w:r>
      <w:r>
        <w:fldChar w:fldCharType="begin"/>
      </w:r>
      <w:r>
        <w:instrText xml:space="preserve">HYPERLINK "http://baike.baidu.com/view/726940.htm" \t "_blank" </w:instrText>
      </w:r>
      <w:r>
        <w:fldChar w:fldCharType="separate"/>
      </w:r>
      <w:r>
        <w:rPr>
          <w:rFonts w:ascii="宋体" w:hAnsi="宋体"/>
          <w:kern w:val="0"/>
          <w:sz w:val="24"/>
        </w:rPr>
        <w:t>投资期</w:t>
      </w:r>
      <w:r>
        <w:fldChar w:fldCharType="end"/>
      </w:r>
      <w:r>
        <w:rPr>
          <w:rFonts w:ascii="宋体" w:hAnsi="宋体"/>
          <w:kern w:val="0"/>
          <w:sz w:val="24"/>
          <w:szCs w:val="21"/>
        </w:rPr>
        <w:t>最关注的性质。</w:t>
      </w:r>
    </w:p>
    <w:p>
      <w:pPr>
        <w:tabs>
          <w:tab w:val="left" w:pos="1620"/>
        </w:tabs>
        <w:spacing w:line="600" w:lineRule="atLeast"/>
        <w:ind w:firstLine="480" w:firstLineChars="200"/>
        <w:rPr>
          <w:rFonts w:ascii="宋体" w:hAnsi="宋体"/>
          <w:kern w:val="0"/>
          <w:sz w:val="24"/>
          <w:szCs w:val="21"/>
        </w:rPr>
      </w:pPr>
      <w:r>
        <w:rPr>
          <w:rFonts w:hint="eastAsia" w:ascii="宋体" w:hAnsi="宋体"/>
          <w:kern w:val="0"/>
          <w:sz w:val="24"/>
          <w:szCs w:val="21"/>
        </w:rPr>
        <w:t>北京两岸金融研究院设计的资产证券化实战特训班，正为应对这一时机和挑战而设置。本项目旨在发扬创新精神，开拓金融优质资源，培养一大批懂得资产证券化的金融家、银行家以及券商，并以此促进资金链条的稳定性。</w:t>
      </w:r>
    </w:p>
    <w:p>
      <w:pPr>
        <w:tabs>
          <w:tab w:val="left" w:pos="1620"/>
          <w:tab w:val="right" w:pos="8306"/>
        </w:tabs>
        <w:spacing w:line="600" w:lineRule="atLeast"/>
        <w:rPr>
          <w:rFonts w:ascii="宋体" w:hAnsi="宋体"/>
          <w:sz w:val="24"/>
          <w:szCs w:val="21"/>
        </w:rPr>
      </w:pPr>
      <w:r>
        <w:rPr>
          <w:rFonts w:hint="eastAsia" w:ascii="宋体" w:hAnsi="宋体"/>
          <w:b/>
          <w:sz w:val="24"/>
        </w:rPr>
        <w:t>【主办单位】</w:t>
      </w:r>
      <w:r>
        <w:rPr>
          <w:rFonts w:hint="eastAsia" w:ascii="宋体" w:hAnsi="宋体"/>
          <w:b/>
          <w:sz w:val="24"/>
          <w:lang w:val="en-US" w:eastAsia="zh-CN"/>
        </w:rPr>
        <w:t xml:space="preserve">  </w:t>
      </w:r>
      <w:r>
        <w:rPr>
          <w:rFonts w:hint="eastAsia" w:ascii="宋体" w:hAnsi="宋体"/>
          <w:sz w:val="24"/>
          <w:lang w:val="en-US" w:eastAsia="zh-CN"/>
        </w:rPr>
        <w:t xml:space="preserve"> </w:t>
      </w:r>
      <w:r>
        <w:rPr>
          <w:rFonts w:hint="eastAsia" w:ascii="宋体" w:hAnsi="宋体"/>
          <w:sz w:val="24"/>
          <w:lang w:eastAsia="zh-CN"/>
        </w:rPr>
        <w:t>证道商学院</w:t>
      </w:r>
      <w:r>
        <w:rPr>
          <w:rFonts w:hint="eastAsia" w:ascii="宋体" w:hAnsi="宋体"/>
          <w:sz w:val="24"/>
          <w:lang w:val="en-US" w:eastAsia="zh-CN"/>
        </w:rPr>
        <w:t xml:space="preserve"> 、中央财经大学 </w:t>
      </w:r>
      <w:r>
        <w:rPr>
          <w:rFonts w:hint="eastAsia" w:ascii="宋体" w:hAnsi="宋体"/>
          <w:sz w:val="24"/>
          <w:szCs w:val="21"/>
        </w:rPr>
        <w:tab/>
      </w:r>
    </w:p>
    <w:p>
      <w:pPr>
        <w:tabs>
          <w:tab w:val="left" w:pos="1620"/>
        </w:tabs>
        <w:spacing w:line="600" w:lineRule="atLeast"/>
        <w:ind w:left="1619" w:hanging="1619" w:hangingChars="672"/>
        <w:rPr>
          <w:rFonts w:ascii="宋体" w:hAnsi="宋体"/>
          <w:sz w:val="24"/>
        </w:rPr>
      </w:pPr>
      <w:r>
        <w:rPr>
          <w:rFonts w:hint="eastAsia" w:ascii="宋体" w:hAnsi="宋体"/>
          <w:b/>
          <w:sz w:val="24"/>
        </w:rPr>
        <w:t>【教学模式】</w:t>
      </w:r>
      <w:r>
        <w:rPr>
          <w:rFonts w:hint="eastAsia" w:ascii="宋体" w:hAnsi="宋体"/>
          <w:b/>
          <w:sz w:val="24"/>
        </w:rPr>
        <w:tab/>
      </w:r>
      <w:r>
        <w:rPr>
          <w:rFonts w:hint="eastAsia" w:ascii="宋体" w:hAnsi="宋体"/>
          <w:sz w:val="24"/>
          <w:szCs w:val="21"/>
        </w:rPr>
        <w:t>授课为主，辅以专题论坛讲座，案例讨论分析、游学、学员间相互交流</w:t>
      </w:r>
    </w:p>
    <w:p>
      <w:pPr>
        <w:tabs>
          <w:tab w:val="left" w:pos="1620"/>
        </w:tabs>
        <w:spacing w:line="600" w:lineRule="atLeast"/>
        <w:ind w:left="1653" w:hanging="1653" w:hangingChars="686"/>
        <w:rPr>
          <w:rFonts w:ascii="宋体" w:hAnsi="宋体"/>
          <w:kern w:val="0"/>
          <w:sz w:val="24"/>
          <w:szCs w:val="21"/>
        </w:rPr>
      </w:pPr>
      <w:r>
        <w:rPr>
          <w:rFonts w:hint="eastAsia" w:ascii="宋体" w:hAnsi="宋体"/>
          <w:b/>
          <w:sz w:val="24"/>
        </w:rPr>
        <w:t>【学制安排】</w:t>
      </w:r>
      <w:r>
        <w:rPr>
          <w:rFonts w:hint="eastAsia" w:ascii="宋体" w:hAnsi="宋体"/>
          <w:b/>
          <w:sz w:val="24"/>
          <w:szCs w:val="21"/>
        </w:rPr>
        <w:tab/>
      </w:r>
      <w:r>
        <w:rPr>
          <w:rFonts w:hint="eastAsia" w:ascii="宋体" w:hAnsi="宋体"/>
          <w:b/>
          <w:sz w:val="24"/>
          <w:szCs w:val="21"/>
          <w:lang w:val="en-US" w:eastAsia="zh-CN"/>
        </w:rPr>
        <w:t>6</w:t>
      </w:r>
      <w:r>
        <w:rPr>
          <w:rFonts w:hint="eastAsia" w:ascii="宋体" w:hAnsi="宋体"/>
          <w:kern w:val="0"/>
          <w:sz w:val="24"/>
          <w:szCs w:val="21"/>
        </w:rPr>
        <w:t>个月；每月一次课程，每次集中授课2天</w:t>
      </w:r>
    </w:p>
    <w:p>
      <w:pPr>
        <w:rPr>
          <w:rFonts w:ascii="宋体" w:hAnsi="宋体"/>
          <w:b/>
          <w:sz w:val="24"/>
        </w:rPr>
      </w:pPr>
    </w:p>
    <w:p>
      <w:pPr>
        <w:rPr>
          <w:rFonts w:ascii="宋体" w:hAnsi="宋体"/>
          <w:b/>
          <w:sz w:val="24"/>
          <w:szCs w:val="21"/>
        </w:rPr>
      </w:pPr>
      <w:r>
        <w:rPr>
          <w:rFonts w:hint="eastAsia" w:ascii="宋体" w:hAnsi="宋体"/>
          <w:b/>
          <w:sz w:val="24"/>
        </w:rPr>
        <w:t>【目标学员】</w:t>
      </w:r>
      <w:r>
        <w:rPr>
          <w:rFonts w:hint="eastAsia" w:ascii="宋体" w:hAnsi="宋体"/>
          <w:b/>
          <w:sz w:val="24"/>
          <w:szCs w:val="21"/>
        </w:rPr>
        <w:tab/>
      </w:r>
    </w:p>
    <w:p>
      <w:pPr>
        <w:pStyle w:val="12"/>
        <w:numPr>
          <w:ilvl w:val="0"/>
          <w:numId w:val="1"/>
        </w:numPr>
        <w:spacing w:line="600" w:lineRule="atLeast"/>
        <w:ind w:firstLineChars="0"/>
        <w:rPr>
          <w:rFonts w:ascii="宋体" w:hAnsi="宋体"/>
          <w:kern w:val="0"/>
          <w:sz w:val="24"/>
          <w:szCs w:val="21"/>
        </w:rPr>
      </w:pPr>
      <w:r>
        <w:rPr>
          <w:rFonts w:hint="eastAsia" w:ascii="宋体" w:hAnsi="宋体"/>
          <w:kern w:val="0"/>
          <w:sz w:val="24"/>
          <w:szCs w:val="21"/>
        </w:rPr>
        <w:t>商业银行、信托公司、证券公司、基金公司、金融租赁公司、金融资产管理公司等金融机构相关人员</w:t>
      </w:r>
    </w:p>
    <w:p>
      <w:pPr>
        <w:pStyle w:val="12"/>
        <w:numPr>
          <w:ilvl w:val="0"/>
          <w:numId w:val="1"/>
        </w:numPr>
        <w:spacing w:line="600" w:lineRule="atLeast"/>
        <w:ind w:firstLineChars="0"/>
        <w:rPr>
          <w:rFonts w:ascii="宋体" w:hAnsi="宋体"/>
          <w:kern w:val="0"/>
          <w:sz w:val="24"/>
          <w:szCs w:val="21"/>
        </w:rPr>
      </w:pPr>
      <w:r>
        <w:rPr>
          <w:rFonts w:hint="eastAsia" w:ascii="宋体" w:hAnsi="宋体"/>
          <w:kern w:val="0"/>
          <w:sz w:val="24"/>
          <w:szCs w:val="21"/>
        </w:rPr>
        <w:t>企业董事长、总经理及其他中高层管理者</w:t>
      </w:r>
    </w:p>
    <w:p>
      <w:pPr>
        <w:spacing w:line="600" w:lineRule="atLeast"/>
        <w:ind w:firstLine="480" w:firstLineChars="200"/>
        <w:rPr>
          <w:rFonts w:ascii="宋体" w:hAnsi="宋体"/>
          <w:kern w:val="0"/>
          <w:sz w:val="24"/>
          <w:szCs w:val="21"/>
        </w:rPr>
      </w:pPr>
      <w:r>
        <w:rPr>
          <w:rFonts w:hint="eastAsia" w:ascii="宋体" w:hAnsi="宋体"/>
          <w:kern w:val="0"/>
          <w:sz w:val="24"/>
          <w:szCs w:val="21"/>
        </w:rPr>
        <w:t>3．律师事务所、会计师事务所及战略咨询公司、保险公司高级管理人员</w:t>
      </w:r>
    </w:p>
    <w:p>
      <w:pPr>
        <w:spacing w:line="600" w:lineRule="atLeast"/>
        <w:ind w:firstLine="480" w:firstLineChars="200"/>
        <w:rPr>
          <w:rFonts w:ascii="宋体" w:hAnsi="宋体"/>
          <w:kern w:val="0"/>
          <w:sz w:val="24"/>
          <w:szCs w:val="21"/>
        </w:rPr>
      </w:pPr>
      <w:r>
        <w:rPr>
          <w:rFonts w:hint="eastAsia" w:ascii="宋体" w:hAnsi="宋体"/>
          <w:kern w:val="0"/>
          <w:sz w:val="24"/>
          <w:szCs w:val="21"/>
        </w:rPr>
        <w:t>4. 资本市场投资者及其他相关投资人</w:t>
      </w:r>
    </w:p>
    <w:p>
      <w:pPr>
        <w:spacing w:line="600" w:lineRule="atLeast"/>
        <w:ind w:firstLine="480" w:firstLineChars="200"/>
        <w:rPr>
          <w:rFonts w:ascii="宋体" w:hAnsi="宋体"/>
          <w:kern w:val="0"/>
          <w:sz w:val="24"/>
          <w:szCs w:val="21"/>
        </w:rPr>
      </w:pPr>
    </w:p>
    <w:p>
      <w:pPr>
        <w:tabs>
          <w:tab w:val="left" w:pos="1620"/>
        </w:tabs>
        <w:spacing w:line="400" w:lineRule="atLeast"/>
        <w:ind w:left="1446" w:hanging="1446" w:hangingChars="600"/>
        <w:rPr>
          <w:rFonts w:ascii="宋体" w:hAnsi="宋体"/>
          <w:b/>
          <w:sz w:val="24"/>
        </w:rPr>
      </w:pPr>
      <w:r>
        <w:rPr>
          <w:rFonts w:hint="eastAsia" w:ascii="宋体" w:hAnsi="宋体"/>
          <w:b/>
          <w:sz w:val="24"/>
        </w:rPr>
        <w:t>【教学模块】</w:t>
      </w:r>
    </w:p>
    <w:p>
      <w:pPr>
        <w:tabs>
          <w:tab w:val="left" w:pos="1620"/>
        </w:tabs>
        <w:spacing w:line="400" w:lineRule="atLeast"/>
        <w:ind w:left="1446" w:hanging="1446" w:hangingChars="600"/>
        <w:rPr>
          <w:rFonts w:ascii="宋体" w:hAnsi="宋体"/>
          <w:b/>
          <w:sz w:val="24"/>
        </w:rPr>
      </w:pPr>
    </w:p>
    <w:tbl>
      <w:tblPr>
        <w:tblStyle w:val="11"/>
        <w:tblW w:w="9214"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6"/>
        <w:gridCol w:w="4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214"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 w:val="24"/>
              </w:rPr>
            </w:pPr>
            <w:r>
              <w:rPr>
                <w:rFonts w:hint="eastAsia" w:ascii="宋体" w:hAnsi="宋体" w:cs="宋体"/>
                <w:b/>
                <w:bCs/>
                <w:color w:val="FFFFFF"/>
                <w:kern w:val="0"/>
                <w:sz w:val="24"/>
              </w:rPr>
              <w:t>第一模块：资产证券化的基本理论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06" w:type="dxa"/>
            <w:tcBorders>
              <w:top w:val="single" w:color="000000" w:sz="4" w:space="0"/>
              <w:left w:val="single" w:color="000000" w:sz="4" w:space="0"/>
              <w:bottom w:val="single" w:color="000000" w:sz="4" w:space="0"/>
              <w:right w:val="single" w:color="000000" w:sz="4" w:space="0"/>
            </w:tcBorders>
            <w:vAlign w:val="top"/>
          </w:tcPr>
          <w:p>
            <w:pPr>
              <w:spacing w:line="400" w:lineRule="atLeast"/>
              <w:jc w:val="left"/>
              <w:rPr>
                <w:rFonts w:ascii="宋体" w:hAnsi="宋体"/>
              </w:rPr>
            </w:pPr>
            <w:r>
              <w:rPr>
                <w:rFonts w:hint="eastAsia"/>
                <w:szCs w:val="21"/>
              </w:rPr>
              <w:t>1、</w:t>
            </w:r>
            <w:r>
              <w:rPr>
                <w:rFonts w:hint="eastAsia" w:ascii="宋体" w:hAnsi="宋体"/>
              </w:rPr>
              <w:t>资产证券化的定义</w:t>
            </w:r>
            <w:r>
              <w:rPr>
                <w:rFonts w:hint="eastAsia"/>
                <w:szCs w:val="21"/>
              </w:rPr>
              <w:t>和运作模式</w:t>
            </w:r>
          </w:p>
        </w:tc>
        <w:tc>
          <w:tcPr>
            <w:tcW w:w="4508"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2、</w:t>
            </w:r>
            <w:r>
              <w:rPr>
                <w:rFonts w:hint="eastAsia" w:ascii="宋体" w:hAnsi="宋体"/>
                <w:szCs w:val="21"/>
              </w:rPr>
              <w:t>资产证券化与传统融资模式的区别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3、</w:t>
            </w:r>
            <w:r>
              <w:rPr>
                <w:rFonts w:hint="eastAsia" w:ascii="宋体" w:hAnsi="宋体"/>
                <w:szCs w:val="21"/>
              </w:rPr>
              <w:t>中国资产证券化发展史</w:t>
            </w:r>
          </w:p>
        </w:tc>
        <w:tc>
          <w:tcPr>
            <w:tcW w:w="4508" w:type="dxa"/>
            <w:tcBorders>
              <w:top w:val="single" w:color="000000" w:sz="4" w:space="0"/>
              <w:left w:val="nil"/>
              <w:bottom w:val="single" w:color="000000" w:sz="4" w:space="0"/>
              <w:right w:val="single" w:color="000000" w:sz="4" w:space="0"/>
            </w:tcBorders>
            <w:vAlign w:val="top"/>
          </w:tcPr>
          <w:p>
            <w:pPr>
              <w:spacing w:line="400" w:lineRule="atLeast"/>
              <w:jc w:val="left"/>
              <w:rPr>
                <w:rFonts w:ascii="宋体" w:hAnsi="宋体"/>
              </w:rPr>
            </w:pPr>
            <w:r>
              <w:rPr>
                <w:rFonts w:hint="eastAsia" w:ascii="宋体" w:hAnsi="宋体" w:cs="宋体"/>
                <w:kern w:val="0"/>
                <w:szCs w:val="21"/>
              </w:rPr>
              <w:t>4、</w:t>
            </w:r>
            <w:r>
              <w:rPr>
                <w:rFonts w:hint="eastAsia" w:ascii="宋体" w:hAnsi="宋体"/>
              </w:rPr>
              <w:t>资产证券化种类及特性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400" w:lineRule="atLeast"/>
              <w:jc w:val="left"/>
              <w:rPr>
                <w:rFonts w:ascii="宋体" w:hAnsi="宋体"/>
              </w:rPr>
            </w:pPr>
            <w:r>
              <w:rPr>
                <w:rFonts w:hint="eastAsia" w:ascii="宋体" w:hAnsi="宋体" w:cs="宋体"/>
                <w:kern w:val="0"/>
                <w:szCs w:val="21"/>
              </w:rPr>
              <w:t>5、</w:t>
            </w:r>
            <w:r>
              <w:rPr>
                <w:rFonts w:hint="eastAsia" w:ascii="宋体" w:hAnsi="宋体"/>
              </w:rPr>
              <w:t>国内资产证券化监管单位</w:t>
            </w:r>
          </w:p>
        </w:tc>
        <w:tc>
          <w:tcPr>
            <w:tcW w:w="4508" w:type="dxa"/>
            <w:tcBorders>
              <w:top w:val="single" w:color="000000" w:sz="4" w:space="0"/>
              <w:left w:val="nil"/>
              <w:bottom w:val="single" w:color="000000" w:sz="4" w:space="0"/>
              <w:right w:val="single" w:color="000000" w:sz="4" w:space="0"/>
            </w:tcBorders>
            <w:vAlign w:val="top"/>
          </w:tcPr>
          <w:p>
            <w:pPr>
              <w:spacing w:line="400" w:lineRule="atLeast"/>
              <w:jc w:val="left"/>
              <w:rPr>
                <w:rFonts w:ascii="宋体" w:hAnsi="宋体"/>
              </w:rPr>
            </w:pPr>
            <w:r>
              <w:rPr>
                <w:rFonts w:hint="eastAsia" w:ascii="宋体" w:hAnsi="宋体" w:cs="宋体"/>
                <w:kern w:val="0"/>
                <w:szCs w:val="21"/>
              </w:rPr>
              <w:t>6、</w:t>
            </w:r>
            <w:r>
              <w:rPr>
                <w:rFonts w:hint="eastAsia" w:ascii="宋体" w:hAnsi="宋体"/>
              </w:rPr>
              <w:t>各监管单位发布的法律法规指引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400" w:lineRule="atLeast"/>
              <w:jc w:val="left"/>
              <w:rPr>
                <w:rFonts w:ascii="宋体" w:hAnsi="宋体"/>
              </w:rPr>
            </w:pPr>
            <w:r>
              <w:rPr>
                <w:rFonts w:hint="eastAsia" w:ascii="宋体" w:hAnsi="宋体" w:cs="宋体"/>
                <w:kern w:val="0"/>
                <w:szCs w:val="21"/>
              </w:rPr>
              <w:t>7、</w:t>
            </w:r>
            <w:r>
              <w:rPr>
                <w:rFonts w:hint="eastAsia" w:ascii="宋体" w:hAnsi="宋体"/>
              </w:rPr>
              <w:t>境内信托资产证券化与离岸信托资产证券化</w:t>
            </w:r>
          </w:p>
        </w:tc>
        <w:tc>
          <w:tcPr>
            <w:tcW w:w="4508"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8、</w:t>
            </w:r>
            <w:r>
              <w:rPr>
                <w:rFonts w:hint="eastAsia" w:ascii="宋体" w:hAnsi="宋体"/>
              </w:rPr>
              <w:t>准入的基础资产类别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9、真实出售与破产隔离的认定及法规依据</w:t>
            </w:r>
          </w:p>
        </w:tc>
        <w:tc>
          <w:tcPr>
            <w:tcW w:w="4508"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cs="宋体"/>
                <w:kern w:val="0"/>
                <w:szCs w:val="21"/>
              </w:rPr>
            </w:pPr>
            <w:r>
              <w:rPr>
                <w:rFonts w:hint="eastAsia" w:ascii="宋体" w:hAnsi="宋体" w:cs="宋体"/>
                <w:kern w:val="0"/>
                <w:szCs w:val="21"/>
              </w:rPr>
              <w:t>10、信用增级的法规要求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214"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第二模块：资产证券化的基本流程及关键点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06"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cs="Arial"/>
                <w:szCs w:val="21"/>
              </w:rPr>
            </w:pPr>
            <w:r>
              <w:rPr>
                <w:rFonts w:hint="eastAsia"/>
                <w:szCs w:val="21"/>
              </w:rPr>
              <w:t>1、</w:t>
            </w:r>
            <w:r>
              <w:rPr>
                <w:rFonts w:hint="eastAsia" w:ascii="宋体" w:hAnsi="宋体"/>
                <w:szCs w:val="21"/>
              </w:rPr>
              <w:t>专家设计流程图</w:t>
            </w:r>
            <w:r>
              <w:rPr>
                <w:rFonts w:hint="eastAsia"/>
                <w:b/>
                <w:bCs/>
                <w:szCs w:val="21"/>
              </w:rPr>
              <w:t xml:space="preserve">               </w:t>
            </w:r>
          </w:p>
        </w:tc>
        <w:tc>
          <w:tcPr>
            <w:tcW w:w="4508" w:type="dxa"/>
            <w:tcBorders>
              <w:top w:val="single" w:color="000000" w:sz="4" w:space="0"/>
              <w:left w:val="nil"/>
              <w:bottom w:val="single" w:color="000000" w:sz="4" w:space="0"/>
              <w:right w:val="single" w:color="000000" w:sz="4" w:space="0"/>
            </w:tcBorders>
            <w:vAlign w:val="top"/>
          </w:tcPr>
          <w:p>
            <w:pPr>
              <w:rPr>
                <w:rFonts w:ascii="宋体" w:hAnsi="宋体"/>
              </w:rPr>
            </w:pPr>
            <w:r>
              <w:rPr>
                <w:rFonts w:hint="eastAsia" w:ascii="宋体" w:hAnsi="宋体" w:cs="宋体"/>
                <w:kern w:val="0"/>
                <w:szCs w:val="21"/>
              </w:rPr>
              <w:t>2、</w:t>
            </w:r>
            <w:r>
              <w:rPr>
                <w:rFonts w:hint="eastAsia" w:ascii="宋体" w:hAnsi="宋体"/>
              </w:rPr>
              <w:t>基础资产类别的选择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rPr>
                <w:rFonts w:ascii="宋体" w:hAnsi="宋体"/>
              </w:rPr>
            </w:pPr>
            <w:r>
              <w:rPr>
                <w:rFonts w:hint="eastAsia" w:ascii="宋体" w:hAnsi="宋体" w:cs="宋体"/>
                <w:kern w:val="0"/>
                <w:szCs w:val="21"/>
              </w:rPr>
              <w:t>3、</w:t>
            </w:r>
            <w:r>
              <w:rPr>
                <w:rFonts w:hint="eastAsia"/>
              </w:rPr>
              <w:t>资产管理（或信托）计划的设立</w:t>
            </w:r>
          </w:p>
        </w:tc>
        <w:tc>
          <w:tcPr>
            <w:tcW w:w="4508" w:type="dxa"/>
            <w:tcBorders>
              <w:top w:val="single" w:color="000000" w:sz="4" w:space="0"/>
              <w:left w:val="nil"/>
              <w:bottom w:val="single" w:color="000000" w:sz="4" w:space="0"/>
              <w:right w:val="single" w:color="000000" w:sz="4" w:space="0"/>
            </w:tcBorders>
            <w:vAlign w:val="top"/>
          </w:tcPr>
          <w:p>
            <w:pPr>
              <w:spacing w:line="400" w:lineRule="atLeast"/>
              <w:jc w:val="left"/>
              <w:rPr>
                <w:rFonts w:ascii="宋体" w:hAnsi="宋体"/>
              </w:rPr>
            </w:pPr>
            <w:r>
              <w:rPr>
                <w:rFonts w:hint="eastAsia" w:ascii="宋体" w:hAnsi="宋体" w:cs="宋体"/>
                <w:kern w:val="0"/>
                <w:szCs w:val="21"/>
              </w:rPr>
              <w:t>4、</w:t>
            </w:r>
            <w:r>
              <w:rPr>
                <w:rFonts w:hint="eastAsia" w:ascii="宋体" w:hAnsi="宋体"/>
              </w:rPr>
              <w:t>服务商和受托方的选择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5、</w:t>
            </w:r>
            <w:r>
              <w:rPr>
                <w:rFonts w:hint="eastAsia" w:ascii="宋体" w:hAnsi="宋体" w:cs="Arial"/>
              </w:rPr>
              <w:t>证券评级的理念与方法</w:t>
            </w:r>
          </w:p>
        </w:tc>
        <w:tc>
          <w:tcPr>
            <w:tcW w:w="4508" w:type="dxa"/>
            <w:tcBorders>
              <w:top w:val="single" w:color="000000" w:sz="4" w:space="0"/>
              <w:left w:val="nil"/>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6、公开发行说明书的解读与制作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Arial"/>
              </w:rPr>
              <w:t>7、资产证券化实际案例分析</w:t>
            </w:r>
          </w:p>
        </w:tc>
        <w:tc>
          <w:tcPr>
            <w:tcW w:w="4508" w:type="dxa"/>
            <w:tcBorders>
              <w:top w:val="single" w:color="000000" w:sz="4" w:space="0"/>
              <w:left w:val="nil"/>
              <w:bottom w:val="single" w:color="000000" w:sz="4" w:space="0"/>
              <w:right w:val="single" w:color="000000" w:sz="4" w:space="0"/>
            </w:tcBorders>
            <w:vAlign w:val="top"/>
          </w:tcPr>
          <w:p>
            <w:pPr>
              <w:rPr>
                <w:rFonts w:ascii="宋体" w:hAnsi="宋体" w:cs="Arial"/>
              </w:rPr>
            </w:pPr>
            <w:r>
              <w:rPr>
                <w:rFonts w:hint="eastAsia" w:ascii="宋体" w:hAnsi="宋体" w:cs="Arial"/>
              </w:rPr>
              <w:t>8、发起机构与投资者多元化趋向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214"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第三模块：新常态下法律法规利弊分析解读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4706"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szCs w:val="21"/>
              </w:rPr>
            </w:pPr>
            <w:r>
              <w:rPr>
                <w:rFonts w:hint="eastAsia" w:ascii="宋体" w:hAnsi="宋体" w:cs="宋体"/>
                <w:kern w:val="0"/>
                <w:szCs w:val="21"/>
              </w:rPr>
              <w:t>1、</w:t>
            </w:r>
            <w:r>
              <w:rPr>
                <w:rFonts w:ascii="宋体" w:hAnsi="宋体" w:cs="Arial"/>
                <w:color w:val="000000"/>
                <w:kern w:val="0"/>
                <w:szCs w:val="21"/>
              </w:rPr>
              <w:t>107</w:t>
            </w:r>
            <w:r>
              <w:rPr>
                <w:rFonts w:hint="eastAsia" w:ascii="宋体" w:hAnsi="宋体" w:cs="Arial"/>
                <w:color w:val="000000"/>
                <w:kern w:val="0"/>
                <w:szCs w:val="21"/>
              </w:rPr>
              <w:t>号文、</w:t>
            </w:r>
            <w:r>
              <w:rPr>
                <w:rFonts w:ascii="宋体" w:hAnsi="宋体" w:cs="Arial"/>
                <w:color w:val="000000"/>
                <w:kern w:val="0"/>
                <w:szCs w:val="21"/>
              </w:rPr>
              <w:t>8</w:t>
            </w:r>
            <w:r>
              <w:rPr>
                <w:rFonts w:hint="eastAsia" w:ascii="宋体" w:hAnsi="宋体" w:cs="Arial"/>
                <w:color w:val="000000"/>
                <w:kern w:val="0"/>
                <w:szCs w:val="21"/>
              </w:rPr>
              <w:t>号文、</w:t>
            </w:r>
            <w:r>
              <w:rPr>
                <w:rFonts w:ascii="宋体" w:hAnsi="宋体" w:cs="Arial"/>
                <w:color w:val="000000"/>
                <w:kern w:val="0"/>
                <w:szCs w:val="21"/>
              </w:rPr>
              <w:t>463</w:t>
            </w:r>
            <w:r>
              <w:rPr>
                <w:rFonts w:hint="eastAsia" w:ascii="宋体" w:hAnsi="宋体" w:cs="Arial"/>
                <w:color w:val="000000"/>
                <w:kern w:val="0"/>
                <w:szCs w:val="21"/>
              </w:rPr>
              <w:t>号文、</w:t>
            </w:r>
            <w:r>
              <w:rPr>
                <w:rFonts w:ascii="宋体" w:hAnsi="宋体" w:cs="Arial"/>
                <w:color w:val="000000"/>
                <w:kern w:val="0"/>
                <w:szCs w:val="21"/>
              </w:rPr>
              <w:t>35</w:t>
            </w:r>
            <w:r>
              <w:rPr>
                <w:rFonts w:hint="eastAsia" w:ascii="宋体" w:hAnsi="宋体" w:cs="Arial"/>
                <w:color w:val="000000"/>
                <w:kern w:val="0"/>
                <w:szCs w:val="21"/>
              </w:rPr>
              <w:t>号文、</w:t>
            </w:r>
            <w:r>
              <w:rPr>
                <w:rFonts w:ascii="宋体" w:hAnsi="宋体" w:cs="Arial"/>
                <w:color w:val="000000"/>
                <w:kern w:val="0"/>
                <w:szCs w:val="21"/>
              </w:rPr>
              <w:t>10</w:t>
            </w:r>
            <w:r>
              <w:rPr>
                <w:rFonts w:hint="eastAsia" w:ascii="宋体" w:hAnsi="宋体" w:cs="Arial"/>
                <w:color w:val="000000"/>
                <w:kern w:val="0"/>
                <w:szCs w:val="21"/>
              </w:rPr>
              <w:t>号文等政策详解及监管边界分析</w:t>
            </w:r>
            <w:r>
              <w:rPr>
                <w:rFonts w:hint="eastAsia" w:ascii="MS Mincho" w:hAnsi="MS Mincho" w:eastAsia="MS Mincho" w:cs="MS Mincho"/>
                <w:color w:val="000000"/>
                <w:kern w:val="0"/>
                <w:szCs w:val="21"/>
              </w:rPr>
              <w:t>​</w:t>
            </w:r>
          </w:p>
        </w:tc>
        <w:tc>
          <w:tcPr>
            <w:tcW w:w="4508" w:type="dxa"/>
            <w:tcBorders>
              <w:top w:val="single" w:color="000000" w:sz="4" w:space="0"/>
              <w:left w:val="nil"/>
              <w:bottom w:val="single" w:color="000000" w:sz="4" w:space="0"/>
              <w:right w:val="single" w:color="000000" w:sz="4" w:space="0"/>
            </w:tcBorders>
            <w:vAlign w:val="top"/>
          </w:tcPr>
          <w:p>
            <w:pPr>
              <w:widowControl/>
              <w:spacing w:line="400" w:lineRule="atLeast"/>
              <w:ind w:left="210" w:hanging="210" w:hangingChars="100"/>
              <w:jc w:val="left"/>
              <w:rPr>
                <w:rFonts w:ascii="宋体" w:hAnsi="宋体" w:cs="Arial"/>
                <w:color w:val="000000"/>
                <w:kern w:val="0"/>
                <w:szCs w:val="21"/>
              </w:rPr>
            </w:pPr>
            <w:r>
              <w:rPr>
                <w:rFonts w:hint="eastAsia" w:ascii="宋体" w:hAnsi="宋体" w:cs="宋体"/>
                <w:kern w:val="0"/>
                <w:szCs w:val="21"/>
              </w:rPr>
              <w:t>2、</w:t>
            </w:r>
            <w:r>
              <w:rPr>
                <w:rFonts w:hint="eastAsia" w:ascii="宋体" w:hAnsi="宋体" w:cs="Arial"/>
                <w:color w:val="000000"/>
                <w:kern w:val="0"/>
                <w:szCs w:val="21"/>
              </w:rPr>
              <w:t>证券公司及基金管理公司子公司资产证券化管理规定及配套规则尽职调查指引、信息披露指引动态</w:t>
            </w:r>
            <w:r>
              <w:rPr>
                <w:rFonts w:hint="eastAsia" w:ascii="MS Mincho" w:hAnsi="MS Mincho" w:eastAsia="MS Mincho" w:cs="MS Mincho"/>
                <w:color w:val="000000"/>
                <w:kern w:val="0"/>
                <w:szCs w:val="21"/>
              </w:rPr>
              <w:t>​</w:t>
            </w:r>
            <w:r>
              <w:rPr>
                <w:rFonts w:hint="eastAsia" w:ascii="宋体" w:hAnsi="宋体" w:cs="Arial"/>
                <w:color w:val="000000"/>
                <w:kern w:val="0"/>
                <w:szCs w:val="21"/>
              </w:rPr>
              <w:t>保监会“</w:t>
            </w:r>
            <w:r>
              <w:rPr>
                <w:rFonts w:ascii="宋体" w:hAnsi="宋体" w:cs="Arial"/>
                <w:color w:val="000000"/>
                <w:kern w:val="0"/>
                <w:szCs w:val="21"/>
              </w:rPr>
              <w:t>197</w:t>
            </w:r>
            <w:r>
              <w:rPr>
                <w:rFonts w:hint="eastAsia" w:ascii="宋体" w:hAnsi="宋体" w:cs="Arial"/>
                <w:color w:val="000000"/>
                <w:kern w:val="0"/>
                <w:szCs w:val="21"/>
              </w:rPr>
              <w:t>号文”与保险资管作为资产证券化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4706"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szCs w:val="21"/>
              </w:rPr>
            </w:pPr>
            <w:r>
              <w:rPr>
                <w:rFonts w:hint="eastAsia" w:ascii="宋体" w:hAnsi="宋体" w:cs="宋体"/>
                <w:kern w:val="0"/>
                <w:szCs w:val="21"/>
              </w:rPr>
              <w:t>3、</w:t>
            </w:r>
            <w:r>
              <w:rPr>
                <w:rFonts w:hint="eastAsia" w:ascii="宋体" w:hAnsi="宋体" w:cs="Arial"/>
                <w:color w:val="000000"/>
                <w:kern w:val="0"/>
                <w:szCs w:val="21"/>
              </w:rPr>
              <w:t>发行人（</w:t>
            </w:r>
            <w:r>
              <w:rPr>
                <w:rFonts w:ascii="宋体" w:hAnsi="宋体" w:cs="Arial"/>
                <w:color w:val="000000"/>
                <w:kern w:val="0"/>
                <w:szCs w:val="21"/>
              </w:rPr>
              <w:t>SPV</w:t>
            </w:r>
            <w:r>
              <w:rPr>
                <w:rFonts w:hint="eastAsia" w:ascii="宋体" w:hAnsi="宋体" w:cs="Arial"/>
                <w:color w:val="000000"/>
                <w:kern w:val="0"/>
                <w:szCs w:val="21"/>
              </w:rPr>
              <w:t>）新的监管政策解读</w:t>
            </w:r>
            <w:r>
              <w:rPr>
                <w:rFonts w:hint="eastAsia" w:ascii="MS Mincho" w:hAnsi="MS Mincho" w:eastAsia="MS Mincho" w:cs="MS Mincho"/>
                <w:color w:val="000000"/>
                <w:kern w:val="0"/>
                <w:szCs w:val="21"/>
              </w:rPr>
              <w:t>​</w:t>
            </w:r>
          </w:p>
        </w:tc>
        <w:tc>
          <w:tcPr>
            <w:tcW w:w="4508" w:type="dxa"/>
            <w:tcBorders>
              <w:top w:val="single" w:color="000000" w:sz="4" w:space="0"/>
              <w:left w:val="nil"/>
              <w:bottom w:val="single" w:color="000000" w:sz="4" w:space="0"/>
              <w:right w:val="single" w:color="000000" w:sz="4" w:space="0"/>
            </w:tcBorders>
            <w:vAlign w:val="top"/>
          </w:tcPr>
          <w:p>
            <w:pPr>
              <w:rPr>
                <w:rFonts w:ascii="宋体" w:hAnsi="宋体" w:cs="Arial"/>
                <w:szCs w:val="21"/>
              </w:rPr>
            </w:pPr>
            <w:r>
              <w:rPr>
                <w:rFonts w:hint="eastAsia" w:ascii="宋体" w:hAnsi="宋体" w:cs="宋体"/>
                <w:kern w:val="0"/>
                <w:szCs w:val="21"/>
              </w:rPr>
              <w:t>4、</w:t>
            </w:r>
            <w:r>
              <w:rPr>
                <w:rFonts w:hint="eastAsia" w:ascii="宋体" w:hAnsi="宋体" w:cs="Arial"/>
                <w:color w:val="000000"/>
                <w:kern w:val="0"/>
                <w:szCs w:val="21"/>
              </w:rPr>
              <w:t>资产管理计划份额的挂牌流程、非标转标的认定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214"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第四模块：资产证券化与投行创新业务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1、</w:t>
            </w:r>
            <w:r>
              <w:rPr>
                <w:rFonts w:hint="eastAsia" w:ascii="宋体" w:hAnsi="宋体" w:cs="Arial"/>
              </w:rPr>
              <w:t>商业银行配套的风险控制体系</w:t>
            </w:r>
            <w:r>
              <w:rPr>
                <w:rFonts w:hint="eastAsia" w:ascii="MS Mincho" w:hAnsi="MS Mincho" w:eastAsia="MS Mincho" w:cs="MS Mincho"/>
              </w:rPr>
              <w:t>​</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2、</w:t>
            </w:r>
            <w:r>
              <w:rPr>
                <w:rFonts w:hint="eastAsia" w:ascii="宋体" w:hAnsi="宋体" w:cs="Arial"/>
              </w:rPr>
              <w:t>投融资平台、房地产等敏感行业的项目遴选与风险控制方法</w:t>
            </w:r>
            <w:r>
              <w:rPr>
                <w:rFonts w:hint="eastAsia" w:ascii="MS Mincho" w:hAnsi="MS Mincho" w:eastAsia="MS Mincho" w:cs="MS Mincho"/>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3、风险管理运作模式（六大模块）</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4、信托业发展与信托融资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bCs/>
                <w:color w:val="000000"/>
                <w:kern w:val="0"/>
                <w:szCs w:val="21"/>
              </w:rPr>
            </w:pPr>
            <w:r>
              <w:rPr>
                <w:rFonts w:hint="eastAsia" w:ascii="宋体" w:hAnsi="宋体" w:cs="宋体"/>
                <w:kern w:val="0"/>
                <w:szCs w:val="21"/>
              </w:rPr>
              <w:t>5、投资银行的功能</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宋体"/>
                <w:kern w:val="0"/>
                <w:szCs w:val="21"/>
              </w:rPr>
              <w:t>6、上市公司相关资本运作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Arial"/>
                <w:color w:val="000000"/>
                <w:kern w:val="0"/>
                <w:szCs w:val="21"/>
              </w:rPr>
              <w:t>7、产业基金运作</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rPr>
            </w:pPr>
            <w:r>
              <w:rPr>
                <w:rFonts w:hint="eastAsia" w:ascii="宋体" w:hAnsi="宋体"/>
              </w:rPr>
              <w:t>8、投资银行与资产证券化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r>
              <w:rPr>
                <w:rFonts w:hint="eastAsia" w:ascii="宋体" w:hAnsi="宋体" w:cs="Arial"/>
                <w:color w:val="000000"/>
                <w:kern w:val="0"/>
                <w:szCs w:val="21"/>
              </w:rPr>
              <w:t>9、风险投资基金融资案例</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10、涉及资产证券化的财务问题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214"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Cs w:val="21"/>
              </w:rPr>
            </w:pPr>
            <w:r>
              <w:rPr>
                <w:rFonts w:hint="eastAsia" w:ascii="宋体" w:hAnsi="宋体" w:cs="宋体"/>
                <w:b/>
                <w:bCs/>
                <w:color w:val="FFFFFF"/>
                <w:kern w:val="0"/>
                <w:sz w:val="24"/>
              </w:rPr>
              <w:t>第五模块：资产证券化实操和表外融资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400" w:lineRule="atLeast"/>
              <w:rPr>
                <w:rFonts w:ascii="宋体" w:hAnsi="宋体" w:cs="Arial"/>
              </w:rPr>
            </w:pPr>
            <w:r>
              <w:rPr>
                <w:rFonts w:hint="eastAsia" w:ascii="宋体" w:hAnsi="宋体" w:cs="宋体"/>
                <w:kern w:val="0"/>
                <w:szCs w:val="21"/>
              </w:rPr>
              <w:t>1、</w:t>
            </w:r>
            <w:r>
              <w:rPr>
                <w:rFonts w:hint="eastAsia" w:ascii="宋体" w:hAnsi="宋体" w:cs="Arial"/>
              </w:rPr>
              <w:t>基于同业合作的表外融资和资产证券化产品的最新政策和模式解析</w:t>
            </w:r>
          </w:p>
        </w:tc>
        <w:tc>
          <w:tcPr>
            <w:tcW w:w="4508" w:type="dxa"/>
            <w:tcBorders>
              <w:top w:val="single" w:color="000000" w:sz="4" w:space="0"/>
              <w:left w:val="nil"/>
              <w:bottom w:val="single" w:color="000000" w:sz="4" w:space="0"/>
              <w:right w:val="single" w:color="000000" w:sz="4" w:space="0"/>
            </w:tcBorders>
            <w:vAlign w:val="top"/>
          </w:tcPr>
          <w:p>
            <w:pPr>
              <w:spacing w:line="400" w:lineRule="atLeast"/>
              <w:rPr>
                <w:rFonts w:ascii="宋体" w:hAnsi="宋体" w:cs="Arial"/>
              </w:rPr>
            </w:pPr>
            <w:r>
              <w:rPr>
                <w:rFonts w:hint="eastAsia" w:ascii="宋体" w:hAnsi="宋体" w:cs="宋体"/>
                <w:kern w:val="0"/>
                <w:szCs w:val="21"/>
              </w:rPr>
              <w:t>2、</w:t>
            </w:r>
            <w:r>
              <w:rPr>
                <w:rFonts w:hint="eastAsia" w:ascii="宋体" w:hAnsi="宋体" w:cs="Arial"/>
              </w:rPr>
              <w:t>表外融资的基本交易结构，和信托及券商合作的表外融资产品操作和营销技巧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400" w:lineRule="atLeast"/>
              <w:rPr>
                <w:rFonts w:ascii="宋体" w:hAnsi="宋体" w:cs="Arial"/>
              </w:rPr>
            </w:pPr>
            <w:r>
              <w:rPr>
                <w:rFonts w:hint="eastAsia" w:ascii="宋体" w:hAnsi="宋体" w:cs="宋体"/>
                <w:kern w:val="0"/>
                <w:szCs w:val="21"/>
              </w:rPr>
              <w:t>3、</w:t>
            </w:r>
            <w:r>
              <w:rPr>
                <w:rFonts w:hint="eastAsia" w:ascii="宋体" w:hAnsi="宋体" w:cs="Arial"/>
              </w:rPr>
              <w:t>与信托和券商合作的证券化产品，包括股票配资信托、应收帐款信托、股票质押信托、票据和同业存款证券化等产品的交易结构、操作和营销技巧</w:t>
            </w:r>
            <w:r>
              <w:rPr>
                <w:rFonts w:hint="eastAsia" w:ascii="MS Mincho" w:hAnsi="MS Mincho" w:eastAsia="MS Mincho" w:cs="MS Mincho"/>
              </w:rPr>
              <w:t>​</w:t>
            </w:r>
          </w:p>
        </w:tc>
        <w:tc>
          <w:tcPr>
            <w:tcW w:w="4508" w:type="dxa"/>
            <w:tcBorders>
              <w:top w:val="single" w:color="000000" w:sz="4" w:space="0"/>
              <w:left w:val="nil"/>
              <w:bottom w:val="single" w:color="000000" w:sz="4" w:space="0"/>
              <w:right w:val="single" w:color="000000" w:sz="4" w:space="0"/>
            </w:tcBorders>
            <w:vAlign w:val="top"/>
          </w:tcPr>
          <w:p>
            <w:pPr>
              <w:spacing w:line="400" w:lineRule="atLeast"/>
              <w:rPr>
                <w:rFonts w:ascii="宋体" w:hAnsi="宋体" w:cs="Arial"/>
              </w:rPr>
            </w:pPr>
            <w:r>
              <w:rPr>
                <w:rFonts w:hint="eastAsia" w:ascii="Calibri" w:hAnsi="Calibri" w:cs="宋体"/>
                <w:kern w:val="0"/>
                <w:szCs w:val="21"/>
              </w:rPr>
              <w:t>4、</w:t>
            </w:r>
            <w:r>
              <w:rPr>
                <w:rFonts w:hint="eastAsia" w:ascii="宋体" w:hAnsi="宋体" w:cs="Arial"/>
              </w:rPr>
              <w:t>如何与财务公司、信托公司、证券公司合作进行理财产品设计</w:t>
            </w:r>
          </w:p>
          <w:p>
            <w:pPr>
              <w:rPr>
                <w:rFonts w:ascii="宋体" w:hAnsi="宋体"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rPr>
                <w:rFonts w:ascii="宋体" w:hAnsi="宋体" w:cs="Arial"/>
              </w:rPr>
            </w:pPr>
            <w:r>
              <w:rPr>
                <w:rFonts w:hint="eastAsia" w:ascii="宋体" w:hAnsi="宋体" w:cs="宋体"/>
                <w:kern w:val="0"/>
                <w:szCs w:val="21"/>
              </w:rPr>
              <w:t>5、</w:t>
            </w:r>
            <w:r>
              <w:rPr>
                <w:rFonts w:hint="eastAsia" w:ascii="宋体" w:hAnsi="宋体" w:cs="Arial"/>
              </w:rPr>
              <w:t>与信托和券商合作表外融资和资产证券化产品的案例分析</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jc w:val="left"/>
              <w:rPr>
                <w:rFonts w:ascii="宋体" w:hAnsi="宋体" w:cs="Arial"/>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214"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Calibri" w:hAnsi="Calibri" w:cs="宋体"/>
                <w:b/>
                <w:bCs/>
                <w:kern w:val="0"/>
                <w:sz w:val="24"/>
              </w:rPr>
            </w:pPr>
            <w:r>
              <w:rPr>
                <w:rFonts w:hint="eastAsia" w:ascii="宋体" w:hAnsi="宋体" w:cs="宋体"/>
                <w:b/>
                <w:bCs/>
                <w:color w:val="FFFFFF"/>
                <w:kern w:val="0"/>
                <w:sz w:val="24"/>
              </w:rPr>
              <w:t>第六模块：资产证券化的税收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06" w:type="dxa"/>
            <w:tcBorders>
              <w:top w:val="single" w:color="000000" w:sz="4" w:space="0"/>
              <w:left w:val="single" w:color="000000" w:sz="4" w:space="0"/>
              <w:bottom w:val="single" w:color="000000" w:sz="4" w:space="0"/>
              <w:right w:val="single" w:color="000000" w:sz="4" w:space="0"/>
            </w:tcBorders>
            <w:vAlign w:val="top"/>
          </w:tcPr>
          <w:p>
            <w:pPr>
              <w:spacing w:line="400" w:lineRule="atLeast"/>
              <w:jc w:val="left"/>
              <w:rPr>
                <w:rFonts w:ascii="宋体" w:hAnsi="宋体"/>
              </w:rPr>
            </w:pPr>
            <w:r>
              <w:rPr>
                <w:rFonts w:hint="eastAsia"/>
                <w:szCs w:val="21"/>
              </w:rPr>
              <w:t>1、</w:t>
            </w:r>
            <w:r>
              <w:rPr>
                <w:rFonts w:hint="eastAsia" w:ascii="宋体" w:hAnsi="宋体"/>
              </w:rPr>
              <w:t>信贷资产转让给受托机构</w:t>
            </w:r>
          </w:p>
        </w:tc>
        <w:tc>
          <w:tcPr>
            <w:tcW w:w="4508"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2、发行资产支持证券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3、取得项目收益</w:t>
            </w:r>
          </w:p>
        </w:tc>
        <w:tc>
          <w:tcPr>
            <w:tcW w:w="4508" w:type="dxa"/>
            <w:tcBorders>
              <w:top w:val="single" w:color="000000" w:sz="4" w:space="0"/>
              <w:left w:val="nil"/>
              <w:bottom w:val="single" w:color="000000" w:sz="4" w:space="0"/>
              <w:right w:val="single" w:color="000000" w:sz="4" w:space="0"/>
            </w:tcBorders>
            <w:vAlign w:val="top"/>
          </w:tcPr>
          <w:p>
            <w:pPr>
              <w:spacing w:line="400" w:lineRule="atLeast"/>
              <w:jc w:val="left"/>
              <w:rPr>
                <w:rFonts w:ascii="宋体" w:hAnsi="宋体"/>
              </w:rPr>
            </w:pPr>
            <w:r>
              <w:rPr>
                <w:rFonts w:hint="eastAsia" w:ascii="宋体" w:hAnsi="宋体" w:cs="宋体"/>
                <w:kern w:val="0"/>
                <w:szCs w:val="21"/>
              </w:rPr>
              <w:t>4、投资者买卖资产支持证券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400" w:lineRule="atLeast"/>
              <w:jc w:val="left"/>
              <w:rPr>
                <w:rFonts w:ascii="宋体" w:hAnsi="宋体"/>
              </w:rPr>
            </w:pPr>
            <w:r>
              <w:rPr>
                <w:rFonts w:hint="eastAsia" w:ascii="宋体" w:hAnsi="宋体" w:cs="宋体"/>
                <w:kern w:val="0"/>
                <w:szCs w:val="21"/>
              </w:rPr>
              <w:t>5、中介服务机构收取服务费</w:t>
            </w:r>
          </w:p>
        </w:tc>
        <w:tc>
          <w:tcPr>
            <w:tcW w:w="4508" w:type="dxa"/>
            <w:tcBorders>
              <w:top w:val="single" w:color="000000" w:sz="4" w:space="0"/>
              <w:left w:val="nil"/>
              <w:bottom w:val="single" w:color="000000" w:sz="4" w:space="0"/>
              <w:right w:val="single" w:color="000000" w:sz="4" w:space="0"/>
            </w:tcBorders>
            <w:vAlign w:val="top"/>
          </w:tcPr>
          <w:p>
            <w:pPr>
              <w:spacing w:line="400" w:lineRule="atLeast"/>
              <w:jc w:val="left"/>
              <w:rPr>
                <w:rFonts w:ascii="宋体" w:hAnsi="宋体"/>
              </w:rPr>
            </w:pPr>
            <w:r>
              <w:rPr>
                <w:rFonts w:hint="eastAsia" w:ascii="宋体" w:hAnsi="宋体" w:cs="宋体"/>
                <w:kern w:val="0"/>
                <w:szCs w:val="21"/>
              </w:rPr>
              <w:t>6、各环节税收操作过程中的注意事项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400" w:lineRule="atLeast"/>
              <w:jc w:val="left"/>
              <w:rPr>
                <w:rFonts w:ascii="宋体" w:hAnsi="宋体"/>
              </w:rPr>
            </w:pPr>
            <w:r>
              <w:rPr>
                <w:rFonts w:hint="eastAsia" w:ascii="宋体" w:hAnsi="宋体" w:cs="宋体"/>
                <w:kern w:val="0"/>
                <w:szCs w:val="21"/>
              </w:rPr>
              <w:t>7、证券化交易主要问题及未来增值税处理前瞻</w:t>
            </w:r>
          </w:p>
        </w:tc>
        <w:tc>
          <w:tcPr>
            <w:tcW w:w="4508"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8、特殊目的尸体税收地位与发票开具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spacing w:line="240" w:lineRule="atLeast"/>
              <w:rPr>
                <w:rFonts w:ascii="宋体" w:hAnsi="宋体"/>
                <w:szCs w:val="21"/>
              </w:rPr>
            </w:pPr>
            <w:r>
              <w:rPr>
                <w:rFonts w:hint="eastAsia" w:ascii="宋体" w:hAnsi="宋体" w:cs="宋体"/>
                <w:kern w:val="0"/>
                <w:szCs w:val="21"/>
              </w:rPr>
              <w:t>9、双重收税</w:t>
            </w:r>
          </w:p>
        </w:tc>
        <w:tc>
          <w:tcPr>
            <w:tcW w:w="4508" w:type="dxa"/>
            <w:tcBorders>
              <w:top w:val="single" w:color="000000" w:sz="4" w:space="0"/>
              <w:left w:val="nil"/>
              <w:bottom w:val="single" w:color="000000" w:sz="4" w:space="0"/>
              <w:right w:val="single" w:color="000000" w:sz="4" w:space="0"/>
            </w:tcBorders>
            <w:vAlign w:val="top"/>
          </w:tcPr>
          <w:p>
            <w:pPr>
              <w:spacing w:line="240" w:lineRule="atLeast"/>
              <w:rPr>
                <w:rFonts w:ascii="宋体" w:hAnsi="宋体" w:cs="宋体"/>
                <w:kern w:val="0"/>
                <w:szCs w:val="21"/>
              </w:rPr>
            </w:pPr>
            <w:r>
              <w:rPr>
                <w:rFonts w:hint="eastAsia" w:ascii="宋体" w:hAnsi="宋体" w:cs="宋体"/>
                <w:kern w:val="0"/>
                <w:szCs w:val="21"/>
              </w:rPr>
              <w:t>10、企业资产证券化业务税收处理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214"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宋体" w:hAnsi="宋体" w:cs="宋体"/>
                <w:b/>
                <w:bCs/>
                <w:color w:val="FFFFFF"/>
                <w:kern w:val="0"/>
                <w:sz w:val="24"/>
              </w:rPr>
            </w:pPr>
            <w:r>
              <w:rPr>
                <w:rFonts w:hint="eastAsia" w:ascii="宋体" w:hAnsi="宋体" w:cs="宋体"/>
                <w:b/>
                <w:bCs/>
                <w:color w:val="FFFFFF"/>
                <w:kern w:val="0"/>
                <w:sz w:val="24"/>
              </w:rPr>
              <w:t>第七论坛：课程选修及论坛(选修一)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1、新三板</w:t>
            </w:r>
            <w:r>
              <w:rPr>
                <w:rFonts w:ascii="宋体" w:hAnsi="宋体" w:cs="宋体"/>
                <w:kern w:val="0"/>
                <w:szCs w:val="21"/>
              </w:rPr>
              <w:t>—</w:t>
            </w:r>
            <w:r>
              <w:rPr>
                <w:rFonts w:hint="eastAsia" w:ascii="宋体" w:hAnsi="宋体" w:cs="宋体"/>
                <w:kern w:val="0"/>
                <w:szCs w:val="21"/>
              </w:rPr>
              <w:t>中小企业首先的资本战略</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2、互联网金融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3、众筹模式设计与创新</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4、PE私募股权投资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5、商道论剑与PE基金实战演练</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rPr>
                <w:rFonts w:ascii="宋体" w:hAnsi="宋体" w:cs="宋体"/>
                <w:kern w:val="0"/>
                <w:szCs w:val="21"/>
              </w:rPr>
            </w:pPr>
            <w:r>
              <w:rPr>
                <w:rFonts w:hint="eastAsia" w:ascii="宋体" w:hAnsi="宋体" w:cs="宋体"/>
                <w:kern w:val="0"/>
                <w:szCs w:val="21"/>
              </w:rPr>
              <w:t>6、PE年度论坛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165" w:lineRule="atLeast"/>
              <w:rPr>
                <w:rFonts w:ascii="宋体" w:hAnsi="宋体" w:cs="宋体"/>
                <w:kern w:val="0"/>
                <w:szCs w:val="21"/>
              </w:rPr>
            </w:pPr>
            <w:r>
              <w:rPr>
                <w:rFonts w:hint="eastAsia" w:ascii="宋体" w:hAnsi="宋体" w:cs="宋体"/>
                <w:kern w:val="0"/>
                <w:szCs w:val="21"/>
              </w:rPr>
              <w:t>7、PE投资方与企业融资方与全体学员交流的平台</w:t>
            </w:r>
          </w:p>
        </w:tc>
        <w:tc>
          <w:tcPr>
            <w:tcW w:w="4508" w:type="dxa"/>
            <w:tcBorders>
              <w:top w:val="single" w:color="000000" w:sz="4" w:space="0"/>
              <w:left w:val="nil"/>
              <w:bottom w:val="single" w:color="000000" w:sz="4" w:space="0"/>
              <w:right w:val="single" w:color="000000" w:sz="4" w:space="0"/>
            </w:tcBorders>
            <w:vAlign w:val="top"/>
          </w:tcPr>
          <w:p>
            <w:pPr>
              <w:widowControl/>
              <w:spacing w:line="165" w:lineRule="atLeast"/>
              <w:rPr>
                <w:rFonts w:ascii="宋体" w:hAnsi="宋体" w:cs="宋体"/>
                <w:kern w:val="0"/>
                <w:szCs w:val="21"/>
              </w:rPr>
            </w:pPr>
            <w:r>
              <w:rPr>
                <w:rFonts w:hint="eastAsia" w:ascii="宋体" w:hAnsi="宋体" w:cs="宋体"/>
                <w:kern w:val="0"/>
                <w:szCs w:val="21"/>
              </w:rPr>
              <w:t>注：</w:t>
            </w:r>
            <w:r>
              <w:rPr>
                <w:rFonts w:ascii="宋体" w:hAnsi="宋体" w:cs="宋体"/>
                <w:kern w:val="0"/>
                <w:szCs w:val="21"/>
              </w:rPr>
              <w:t xml:space="preserve"> </w:t>
            </w:r>
            <w:r>
              <w:rPr>
                <w:rFonts w:hint="eastAsia" w:ascii="宋体" w:hAnsi="宋体" w:cs="宋体"/>
                <w:kern w:val="0"/>
                <w:szCs w:val="21"/>
              </w:rPr>
              <w:t>前四门课程可任选其一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214" w:type="dxa"/>
            <w:gridSpan w:val="2"/>
            <w:tcBorders>
              <w:top w:val="single" w:color="000000" w:sz="4" w:space="0"/>
              <w:left w:val="single" w:color="000000" w:sz="4" w:space="0"/>
              <w:bottom w:val="single" w:color="000000" w:sz="4" w:space="0"/>
              <w:right w:val="single" w:color="000000" w:sz="4" w:space="0"/>
            </w:tcBorders>
            <w:shd w:val="clear" w:color="auto" w:fill="B56913"/>
            <w:vAlign w:val="top"/>
          </w:tcPr>
          <w:p>
            <w:pPr>
              <w:widowControl/>
              <w:spacing w:line="300" w:lineRule="auto"/>
              <w:jc w:val="center"/>
              <w:rPr>
                <w:rFonts w:ascii="宋体" w:hAnsi="宋体" w:cs="宋体"/>
                <w:b/>
                <w:bCs/>
                <w:color w:val="FFFFFF"/>
                <w:kern w:val="0"/>
                <w:sz w:val="24"/>
              </w:rPr>
            </w:pPr>
            <w:r>
              <w:rPr>
                <w:rFonts w:hint="eastAsia" w:ascii="宋体" w:hAnsi="宋体" w:cs="宋体"/>
                <w:b/>
                <w:bCs/>
                <w:color w:val="FFFFFF"/>
                <w:kern w:val="0"/>
                <w:sz w:val="24"/>
              </w:rPr>
              <w:t>第八模块：美国</w:t>
            </w:r>
            <w:r>
              <w:rPr>
                <w:rFonts w:hint="eastAsia" w:ascii="宋体" w:hAnsi="宋体" w:cs="宋体"/>
                <w:b/>
                <w:color w:val="FFFFFF"/>
                <w:kern w:val="0"/>
                <w:sz w:val="24"/>
              </w:rPr>
              <w:t>哈佛大学顶级领导力课程与海外投资移民(选修二)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Calibri" w:hAnsi="Calibri" w:cs="宋体"/>
                <w:b/>
                <w:kern w:val="0"/>
                <w:szCs w:val="21"/>
              </w:rPr>
            </w:pPr>
            <w:r>
              <w:rPr>
                <w:rFonts w:hint="eastAsia" w:ascii="宋体" w:hAnsi="宋体" w:cs="宋体"/>
                <w:kern w:val="0"/>
                <w:szCs w:val="21"/>
              </w:rPr>
              <w:t>1、</w:t>
            </w:r>
            <w:r>
              <w:rPr>
                <w:rStyle w:val="8"/>
                <w:rFonts w:hint="eastAsia"/>
                <w:b w:val="0"/>
                <w:sz w:val="23"/>
                <w:szCs w:val="23"/>
              </w:rPr>
              <w:t>美国及全球经济展望</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rPr>
                <w:rFonts w:ascii="Calibri" w:hAnsi="Calibri" w:cs="宋体"/>
                <w:b/>
                <w:kern w:val="0"/>
                <w:szCs w:val="21"/>
              </w:rPr>
            </w:pPr>
            <w:r>
              <w:rPr>
                <w:rFonts w:hint="eastAsia" w:ascii="宋体" w:hAnsi="宋体" w:cs="宋体"/>
                <w:kern w:val="0"/>
                <w:szCs w:val="21"/>
              </w:rPr>
              <w:t>2、</w:t>
            </w:r>
            <w:r>
              <w:rPr>
                <w:rStyle w:val="8"/>
                <w:rFonts w:hint="eastAsia"/>
                <w:b w:val="0"/>
                <w:sz w:val="23"/>
                <w:szCs w:val="23"/>
              </w:rPr>
              <w:t>和谐竞争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165" w:lineRule="atLeast"/>
              <w:rPr>
                <w:rFonts w:ascii="Calibri" w:hAnsi="Calibri" w:cs="宋体"/>
                <w:kern w:val="0"/>
                <w:szCs w:val="21"/>
              </w:rPr>
            </w:pPr>
            <w:r>
              <w:rPr>
                <w:rFonts w:hint="eastAsia" w:ascii="宋体" w:hAnsi="宋体" w:cs="宋体"/>
                <w:kern w:val="0"/>
                <w:szCs w:val="21"/>
              </w:rPr>
              <w:t>3、</w:t>
            </w:r>
            <w:r>
              <w:rPr>
                <w:rStyle w:val="8"/>
                <w:rFonts w:hint="eastAsia"/>
                <w:b w:val="0"/>
                <w:sz w:val="23"/>
                <w:szCs w:val="23"/>
              </w:rPr>
              <w:t>创造并保持具有优势的商业竞争模式</w:t>
            </w:r>
          </w:p>
        </w:tc>
        <w:tc>
          <w:tcPr>
            <w:tcW w:w="4508" w:type="dxa"/>
            <w:tcBorders>
              <w:top w:val="single" w:color="000000" w:sz="4" w:space="0"/>
              <w:left w:val="nil"/>
              <w:bottom w:val="single" w:color="000000" w:sz="4" w:space="0"/>
              <w:right w:val="single" w:color="000000" w:sz="4" w:space="0"/>
            </w:tcBorders>
            <w:vAlign w:val="top"/>
          </w:tcPr>
          <w:p>
            <w:pPr>
              <w:widowControl/>
              <w:spacing w:line="165" w:lineRule="atLeast"/>
              <w:rPr>
                <w:rFonts w:ascii="Calibri" w:hAnsi="Calibri" w:cs="宋体"/>
                <w:b/>
                <w:kern w:val="0"/>
                <w:szCs w:val="21"/>
              </w:rPr>
            </w:pPr>
            <w:r>
              <w:rPr>
                <w:rStyle w:val="8"/>
                <w:rFonts w:hint="eastAsia"/>
                <w:b w:val="0"/>
                <w:sz w:val="23"/>
                <w:szCs w:val="23"/>
              </w:rPr>
              <w:t>4、海外创投业的发展经验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4706" w:type="dxa"/>
            <w:tcBorders>
              <w:top w:val="single" w:color="000000" w:sz="4" w:space="0"/>
              <w:left w:val="single" w:color="000000" w:sz="4" w:space="0"/>
              <w:bottom w:val="single" w:color="000000" w:sz="4" w:space="0"/>
              <w:right w:val="single" w:color="000000" w:sz="4" w:space="0"/>
            </w:tcBorders>
            <w:vAlign w:val="top"/>
          </w:tcPr>
          <w:p>
            <w:pPr>
              <w:widowControl/>
              <w:spacing w:line="240" w:lineRule="atLeast"/>
              <w:rPr>
                <w:rFonts w:ascii="Calibri" w:hAnsi="Calibri" w:cs="宋体"/>
                <w:b/>
                <w:kern w:val="0"/>
                <w:szCs w:val="21"/>
              </w:rPr>
            </w:pPr>
            <w:r>
              <w:rPr>
                <w:rFonts w:hint="eastAsia" w:ascii="宋体" w:hAnsi="宋体" w:cs="宋体"/>
                <w:kern w:val="0"/>
                <w:szCs w:val="21"/>
              </w:rPr>
              <w:t>5、</w:t>
            </w:r>
            <w:r>
              <w:rPr>
                <w:rStyle w:val="8"/>
                <w:rFonts w:hint="eastAsia"/>
                <w:b w:val="0"/>
                <w:sz w:val="23"/>
                <w:szCs w:val="23"/>
              </w:rPr>
              <w:t>海外投资移民策略</w:t>
            </w:r>
          </w:p>
        </w:tc>
        <w:tc>
          <w:tcPr>
            <w:tcW w:w="4508" w:type="dxa"/>
            <w:tcBorders>
              <w:top w:val="single" w:color="000000" w:sz="4" w:space="0"/>
              <w:left w:val="nil"/>
              <w:bottom w:val="single" w:color="000000" w:sz="4" w:space="0"/>
              <w:right w:val="single" w:color="000000" w:sz="4" w:space="0"/>
            </w:tcBorders>
            <w:vAlign w:val="top"/>
          </w:tcPr>
          <w:p>
            <w:pPr>
              <w:widowControl/>
              <w:spacing w:line="240" w:lineRule="atLeast"/>
              <w:rPr>
                <w:rFonts w:ascii="Calibri" w:hAnsi="Calibri" w:cs="宋体"/>
                <w:b/>
                <w:kern w:val="0"/>
                <w:szCs w:val="21"/>
              </w:rPr>
            </w:pPr>
            <w:r>
              <w:rPr>
                <w:rFonts w:hint="eastAsia" w:ascii="宋体" w:hAnsi="宋体" w:cs="宋体"/>
                <w:kern w:val="0"/>
                <w:szCs w:val="21"/>
              </w:rPr>
              <w:t>6、</w:t>
            </w:r>
            <w:r>
              <w:rPr>
                <w:rStyle w:val="8"/>
                <w:rFonts w:hint="eastAsia"/>
                <w:b w:val="0"/>
                <w:sz w:val="23"/>
                <w:szCs w:val="23"/>
              </w:rPr>
              <w:t>海外子女教育与资产安全</w:t>
            </w:r>
          </w:p>
        </w:tc>
      </w:tr>
    </w:tbl>
    <w:p>
      <w:pPr>
        <w:spacing w:line="600" w:lineRule="atLeast"/>
        <w:rPr>
          <w:rFonts w:ascii="宋体" w:hAnsi="宋体"/>
          <w:kern w:val="0"/>
          <w:sz w:val="24"/>
        </w:rPr>
      </w:pPr>
      <w:r>
        <w:rPr>
          <w:rFonts w:hint="eastAsia" w:ascii="宋体" w:hAnsi="宋体"/>
          <w:kern w:val="0"/>
          <w:sz w:val="24"/>
        </w:rPr>
        <w:t>【</w:t>
      </w:r>
      <w:r>
        <w:rPr>
          <w:rFonts w:hint="eastAsia" w:ascii="宋体" w:hAnsi="宋体"/>
          <w:b/>
          <w:kern w:val="0"/>
          <w:sz w:val="24"/>
        </w:rPr>
        <w:t>报名程序</w:t>
      </w:r>
      <w:r>
        <w:rPr>
          <w:rFonts w:hint="eastAsia" w:ascii="宋体" w:hAnsi="宋体"/>
          <w:kern w:val="0"/>
          <w:sz w:val="24"/>
        </w:rPr>
        <w:t xml:space="preserve">】 </w:t>
      </w:r>
    </w:p>
    <w:p>
      <w:pPr>
        <w:spacing w:line="600" w:lineRule="atLeast"/>
        <w:rPr>
          <w:rFonts w:ascii="宋体" w:hAnsi="宋体"/>
          <w:kern w:val="0"/>
          <w:sz w:val="24"/>
          <w:szCs w:val="21"/>
        </w:rPr>
      </w:pPr>
      <w:r>
        <w:rPr>
          <w:rFonts w:hint="eastAsia" w:ascii="宋体" w:hAnsi="宋体"/>
          <w:kern w:val="0"/>
          <w:sz w:val="24"/>
          <w:szCs w:val="21"/>
        </w:rPr>
        <w:t>提交报名表→ 交纳学费→ 获得入学通知书→ 报到入学。</w:t>
      </w:r>
    </w:p>
    <w:p>
      <w:pPr>
        <w:spacing w:line="600" w:lineRule="atLeast"/>
        <w:rPr>
          <w:rFonts w:ascii="宋体" w:hAnsi="宋体"/>
          <w:kern w:val="0"/>
          <w:sz w:val="24"/>
        </w:rPr>
      </w:pPr>
      <w:r>
        <w:rPr>
          <w:rFonts w:hint="eastAsia" w:ascii="宋体" w:hAnsi="宋体"/>
          <w:kern w:val="0"/>
          <w:sz w:val="24"/>
        </w:rPr>
        <w:t>【</w:t>
      </w:r>
      <w:r>
        <w:rPr>
          <w:rFonts w:hint="eastAsia" w:ascii="宋体" w:hAnsi="宋体"/>
          <w:b/>
          <w:kern w:val="0"/>
          <w:sz w:val="24"/>
        </w:rPr>
        <w:t>学费</w:t>
      </w:r>
      <w:r>
        <w:rPr>
          <w:rFonts w:hint="eastAsia" w:ascii="宋体" w:hAnsi="宋体"/>
          <w:kern w:val="0"/>
          <w:sz w:val="24"/>
        </w:rPr>
        <w:t xml:space="preserve">】 </w:t>
      </w:r>
    </w:p>
    <w:p>
      <w:pPr>
        <w:spacing w:line="600" w:lineRule="atLeast"/>
        <w:rPr>
          <w:rFonts w:ascii="宋体" w:hAnsi="宋体"/>
          <w:kern w:val="0"/>
          <w:sz w:val="24"/>
          <w:szCs w:val="21"/>
        </w:rPr>
      </w:pPr>
      <w:r>
        <w:rPr>
          <w:rFonts w:hint="eastAsia" w:ascii="宋体" w:hAnsi="宋体"/>
          <w:kern w:val="0"/>
          <w:sz w:val="24"/>
          <w:szCs w:val="21"/>
        </w:rPr>
        <w:t xml:space="preserve"> 人民币58000元</w:t>
      </w:r>
    </w:p>
    <w:p>
      <w:pPr>
        <w:widowControl/>
        <w:spacing w:after="0" w:afterAutospacing="0" w:line="360" w:lineRule="auto"/>
        <w:rPr>
          <w:rFonts w:hint="eastAsia" w:ascii="＇Times New Roman＇" w:hAnsi="＇Times New Roman＇" w:cs="宋体"/>
          <w:b/>
          <w:kern w:val="0"/>
          <w:sz w:val="28"/>
          <w:szCs w:val="28"/>
        </w:rPr>
      </w:pPr>
      <w:r>
        <w:rPr>
          <w:rFonts w:hint="eastAsia" w:ascii="＇Times New Roman＇" w:hAnsi="＇Times New Roman＇" w:cs="宋体"/>
          <w:b/>
          <w:kern w:val="0"/>
          <w:sz w:val="28"/>
          <w:szCs w:val="28"/>
        </w:rPr>
        <w:t>【报名方法】</w:t>
      </w:r>
    </w:p>
    <w:p>
      <w:pPr>
        <w:widowControl/>
        <w:spacing w:after="0" w:afterAutospacing="0" w:line="360" w:lineRule="auto"/>
        <w:rPr>
          <w:rFonts w:hint="eastAsia" w:ascii="＇Times New Roman＇" w:hAnsi="＇Times New Roman＇" w:eastAsia="宋体" w:cs="宋体"/>
          <w:b/>
          <w:kern w:val="0"/>
          <w:sz w:val="28"/>
          <w:szCs w:val="28"/>
          <w:lang w:val="en-US" w:eastAsia="zh-CN"/>
        </w:rPr>
      </w:pPr>
      <w:r>
        <w:rPr>
          <w:rFonts w:hint="eastAsia" w:ascii="＇Times New Roman＇" w:hAnsi="＇Times New Roman＇" w:cs="宋体"/>
          <w:b/>
          <w:kern w:val="0"/>
          <w:sz w:val="28"/>
          <w:szCs w:val="28"/>
          <w:lang w:val="en-US" w:eastAsia="zh-CN"/>
        </w:rPr>
        <w:t xml:space="preserve">联系老师：杜老师  13121135903  </w:t>
      </w:r>
    </w:p>
    <w:p>
      <w:pPr>
        <w:widowControl/>
        <w:spacing w:after="0" w:afterAutospacing="0" w:line="360" w:lineRule="auto"/>
        <w:rPr>
          <w:rFonts w:hint="eastAsia" w:ascii="宋体" w:hAnsi="宋体" w:cs="宋体"/>
          <w:kern w:val="0"/>
          <w:sz w:val="28"/>
          <w:szCs w:val="28"/>
          <w:lang w:val="en-US" w:eastAsia="zh-CN"/>
        </w:rPr>
      </w:pPr>
      <w:r>
        <w:rPr>
          <w:rFonts w:ascii="宋体" w:hAnsi="宋体" w:cs="宋体"/>
          <w:kern w:val="0"/>
          <w:sz w:val="28"/>
          <w:szCs w:val="28"/>
        </w:rPr>
        <w:t>联系电话：</w:t>
      </w:r>
      <w:r>
        <w:rPr>
          <w:rFonts w:hint="eastAsia" w:ascii="宋体" w:hAnsi="宋体" w:cs="宋体"/>
          <w:kern w:val="0"/>
          <w:sz w:val="28"/>
          <w:szCs w:val="28"/>
          <w:lang w:val="en-US" w:eastAsia="zh-CN"/>
        </w:rPr>
        <w:t xml:space="preserve">010-62719327 </w:t>
      </w:r>
    </w:p>
    <w:p>
      <w:pPr>
        <w:widowControl/>
        <w:spacing w:after="0" w:afterAutospacing="0" w:line="360" w:lineRule="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传真：010-51413865</w:t>
      </w:r>
    </w:p>
    <w:p>
      <w:pPr>
        <w:widowControl/>
        <w:spacing w:after="0" w:afterAutospacing="0" w:line="360" w:lineRule="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邮箱：13121135903@qq.com</w:t>
      </w:r>
    </w:p>
    <w:p>
      <w:pPr>
        <w:spacing w:before="624" w:beforeLines="200" w:line="500" w:lineRule="exact"/>
        <w:jc w:val="center"/>
        <w:rPr>
          <w:rFonts w:hint="eastAsia" w:ascii="仿宋_GB2312" w:hAnsi="新宋体" w:eastAsia="仿宋_GB2312"/>
          <w:b/>
          <w:sz w:val="36"/>
          <w:szCs w:val="36"/>
        </w:rPr>
      </w:pPr>
      <w:r>
        <w:rPr>
          <w:rFonts w:hint="eastAsia" w:ascii="仿宋_GB2312" w:hAnsi="新宋体" w:eastAsia="仿宋_GB2312"/>
          <w:b/>
          <w:sz w:val="36"/>
          <w:szCs w:val="36"/>
        </w:rPr>
        <w:t>学员报名登记表</w:t>
      </w: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0"/>
        <w:gridCol w:w="1702"/>
        <w:gridCol w:w="1422"/>
        <w:gridCol w:w="23"/>
        <w:gridCol w:w="1517"/>
        <w:gridCol w:w="266"/>
        <w:gridCol w:w="664"/>
        <w:gridCol w:w="596"/>
        <w:gridCol w:w="18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7" w:hRule="atLeast"/>
        </w:trPr>
        <w:tc>
          <w:tcPr>
            <w:tcW w:w="9540" w:type="dxa"/>
            <w:gridSpan w:val="10"/>
            <w:tcBorders>
              <w:top w:val="single" w:color="auto" w:sz="4" w:space="0"/>
              <w:left w:val="single" w:color="auto" w:sz="4" w:space="0"/>
              <w:bottom w:val="single" w:color="auto" w:sz="4" w:space="0"/>
              <w:right w:val="single" w:color="auto" w:sz="4" w:space="0"/>
            </w:tcBorders>
            <w:shd w:val="clear" w:color="auto" w:fill="E6E6E6"/>
            <w:vAlign w:val="top"/>
          </w:tcPr>
          <w:p>
            <w:pPr>
              <w:tabs>
                <w:tab w:val="left" w:pos="0"/>
              </w:tabs>
              <w:jc w:val="center"/>
              <w:rPr>
                <w:rFonts w:hint="eastAsia" w:ascii="新宋体" w:hAnsi="新宋体" w:eastAsia="新宋体"/>
                <w:b/>
                <w:bCs/>
                <w:sz w:val="24"/>
              </w:rPr>
            </w:pPr>
            <w:r>
              <w:rPr>
                <w:rFonts w:hint="eastAsia" w:ascii="新宋体" w:hAnsi="新宋体" w:eastAsia="新宋体"/>
                <w:b/>
                <w:bCs/>
                <w:sz w:val="24"/>
              </w:rPr>
              <w:t>个 人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bottom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姓    名</w:t>
            </w:r>
          </w:p>
        </w:tc>
        <w:tc>
          <w:tcPr>
            <w:tcW w:w="3124" w:type="dxa"/>
            <w:gridSpan w:val="2"/>
            <w:tcBorders>
              <w:top w:val="single" w:color="auto" w:sz="4" w:space="0"/>
              <w:bottom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tcBorders>
              <w:top w:val="single" w:color="auto" w:sz="4" w:space="0"/>
              <w:bottom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性    别</w:t>
            </w:r>
          </w:p>
        </w:tc>
        <w:tc>
          <w:tcPr>
            <w:tcW w:w="1707" w:type="dxa"/>
            <w:gridSpan w:val="4"/>
            <w:tcBorders>
              <w:top w:val="single" w:color="auto" w:sz="4" w:space="0"/>
              <w:bottom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r>
              <w:rPr>
                <w:rFonts w:hint="eastAsia" w:ascii="新宋体" w:hAnsi="新宋体" w:eastAsia="新宋体"/>
                <w:sz w:val="24"/>
              </w:rPr>
              <w:t xml:space="preserve">先生 </w:t>
            </w:r>
            <w:r>
              <w:rPr>
                <w:rFonts w:hint="eastAsia" w:ascii="新宋体" w:hAnsi="新宋体" w:eastAsia="新宋体"/>
                <w:sz w:val="24"/>
                <w:lang w:val="zh-CN"/>
              </w:rPr>
              <w:t>□</w:t>
            </w:r>
          </w:p>
        </w:tc>
        <w:tc>
          <w:tcPr>
            <w:tcW w:w="1799" w:type="dxa"/>
            <w:tcBorders>
              <w:top w:val="single" w:color="auto" w:sz="4" w:space="0"/>
              <w:bottom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r>
              <w:rPr>
                <w:rFonts w:hint="eastAsia" w:ascii="新宋体" w:hAnsi="新宋体" w:eastAsia="新宋体"/>
                <w:sz w:val="24"/>
              </w:rPr>
              <w:t xml:space="preserve">女士 </w:t>
            </w:r>
            <w:r>
              <w:rPr>
                <w:rFonts w:hint="eastAsia" w:ascii="新宋体" w:hAnsi="新宋体" w:eastAsia="新宋体"/>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身份证号</w:t>
            </w:r>
          </w:p>
        </w:tc>
        <w:tc>
          <w:tcPr>
            <w:tcW w:w="3124" w:type="dxa"/>
            <w:gridSpan w:val="2"/>
            <w:tcBorders>
              <w:top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tcBorders>
              <w:top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学    历</w:t>
            </w:r>
          </w:p>
        </w:tc>
        <w:tc>
          <w:tcPr>
            <w:tcW w:w="930" w:type="dxa"/>
            <w:gridSpan w:val="2"/>
            <w:tcBorders>
              <w:top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777" w:type="dxa"/>
            <w:gridSpan w:val="2"/>
            <w:tcBorders>
              <w:top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民族</w:t>
            </w:r>
          </w:p>
        </w:tc>
        <w:tc>
          <w:tcPr>
            <w:tcW w:w="1799" w:type="dxa"/>
            <w:tcBorders>
              <w:top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办公电话</w:t>
            </w:r>
          </w:p>
        </w:tc>
        <w:tc>
          <w:tcPr>
            <w:tcW w:w="3124" w:type="dxa"/>
            <w:gridSpan w:val="2"/>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办公传真</w:t>
            </w:r>
          </w:p>
        </w:tc>
        <w:tc>
          <w:tcPr>
            <w:tcW w:w="3506" w:type="dxa"/>
            <w:gridSpan w:val="5"/>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手机号码</w:t>
            </w:r>
          </w:p>
        </w:tc>
        <w:tc>
          <w:tcPr>
            <w:tcW w:w="3124" w:type="dxa"/>
            <w:gridSpan w:val="2"/>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电子邮件</w:t>
            </w:r>
          </w:p>
        </w:tc>
        <w:tc>
          <w:tcPr>
            <w:tcW w:w="3506" w:type="dxa"/>
            <w:gridSpan w:val="5"/>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通信地址</w:t>
            </w:r>
          </w:p>
        </w:tc>
        <w:tc>
          <w:tcPr>
            <w:tcW w:w="3124"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c>
          <w:tcPr>
            <w:tcW w:w="1540"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邮政编码</w:t>
            </w:r>
          </w:p>
        </w:tc>
        <w:tc>
          <w:tcPr>
            <w:tcW w:w="3506" w:type="dxa"/>
            <w:gridSpan w:val="5"/>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社会职务</w:t>
            </w:r>
          </w:p>
        </w:tc>
        <w:tc>
          <w:tcPr>
            <w:tcW w:w="8170" w:type="dxa"/>
            <w:gridSpan w:val="9"/>
            <w:tcBorders>
              <w:top w:val="single" w:color="auto" w:sz="4" w:space="0"/>
              <w:left w:val="single" w:color="auto" w:sz="4" w:space="0"/>
              <w:bottom w:val="single" w:color="auto" w:sz="4" w:space="0"/>
              <w:right w:val="single" w:color="auto" w:sz="4" w:space="0"/>
            </w:tcBorders>
            <w:shd w:val="clear" w:color="auto" w:fill="FFFFFF"/>
            <w:vAlign w:val="top"/>
          </w:tcPr>
          <w:p>
            <w:pPr>
              <w:tabs>
                <w:tab w:val="left" w:pos="3600"/>
              </w:tabs>
              <w:spacing w:line="500" w:lineRule="exact"/>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40" w:type="dxa"/>
            <w:gridSpan w:val="10"/>
            <w:tcBorders>
              <w:top w:val="single" w:color="auto" w:sz="4" w:space="0"/>
              <w:left w:val="single" w:color="auto" w:sz="4" w:space="0"/>
              <w:bottom w:val="single" w:color="auto" w:sz="4" w:space="0"/>
              <w:right w:val="single" w:color="auto" w:sz="4" w:space="0"/>
            </w:tcBorders>
            <w:shd w:val="clear" w:color="auto" w:fill="E6E6E6"/>
            <w:vAlign w:val="top"/>
          </w:tcPr>
          <w:p>
            <w:pPr>
              <w:tabs>
                <w:tab w:val="left" w:pos="0"/>
                <w:tab w:val="left" w:pos="3739"/>
              </w:tabs>
              <w:jc w:val="center"/>
              <w:rPr>
                <w:rFonts w:hint="eastAsia" w:ascii="新宋体" w:hAnsi="新宋体" w:eastAsia="新宋体"/>
                <w:b/>
                <w:bCs/>
                <w:sz w:val="24"/>
              </w:rPr>
            </w:pPr>
            <w:r>
              <w:rPr>
                <w:rFonts w:hint="eastAsia" w:ascii="新宋体" w:hAnsi="新宋体" w:eastAsia="新宋体"/>
                <w:b/>
                <w:bCs/>
                <w:sz w:val="24"/>
              </w:rPr>
              <w:t>职 业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tcBorders>
              <w:top w:val="single" w:color="auto" w:sz="4" w:space="0"/>
            </w:tcBorders>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公司全称</w:t>
            </w:r>
          </w:p>
        </w:tc>
        <w:tc>
          <w:tcPr>
            <w:tcW w:w="8170" w:type="dxa"/>
            <w:gridSpan w:val="9"/>
            <w:tcBorders>
              <w:top w:val="single" w:color="auto" w:sz="4" w:space="0"/>
            </w:tcBorders>
            <w:shd w:val="clear" w:color="auto" w:fill="FFFFFF"/>
            <w:vAlign w:val="top"/>
          </w:tcPr>
          <w:p>
            <w:pPr>
              <w:tabs>
                <w:tab w:val="left" w:pos="3600"/>
              </w:tabs>
              <w:spacing w:line="500" w:lineRule="exac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单位性质</w:t>
            </w:r>
          </w:p>
        </w:tc>
        <w:tc>
          <w:tcPr>
            <w:tcW w:w="8170" w:type="dxa"/>
            <w:gridSpan w:val="9"/>
            <w:shd w:val="clear" w:color="auto" w:fill="FFFFFF"/>
            <w:vAlign w:val="top"/>
          </w:tcPr>
          <w:p>
            <w:pPr>
              <w:tabs>
                <w:tab w:val="left" w:pos="3600"/>
              </w:tabs>
              <w:spacing w:line="360" w:lineRule="exact"/>
              <w:ind w:firstLine="480" w:firstLineChars="200"/>
              <w:rPr>
                <w:rFonts w:hint="eastAsia" w:ascii="新宋体" w:hAnsi="新宋体" w:eastAsia="新宋体"/>
                <w:sz w:val="24"/>
              </w:rPr>
            </w:pPr>
            <w:r>
              <w:rPr>
                <w:rFonts w:hint="eastAsia" w:ascii="新宋体" w:hAnsi="新宋体" w:eastAsia="新宋体"/>
                <w:sz w:val="24"/>
              </w:rPr>
              <w:t xml:space="preserve">□  国营企业     □ 民营企业     □ 外商独资      </w:t>
            </w:r>
          </w:p>
          <w:p>
            <w:pPr>
              <w:tabs>
                <w:tab w:val="left" w:pos="3600"/>
              </w:tabs>
              <w:spacing w:line="360" w:lineRule="exact"/>
              <w:ind w:firstLine="480" w:firstLineChars="200"/>
              <w:rPr>
                <w:rFonts w:hint="eastAsia" w:ascii="新宋体" w:hAnsi="新宋体" w:eastAsia="新宋体"/>
                <w:sz w:val="24"/>
              </w:rPr>
            </w:pPr>
            <w:r>
              <w:rPr>
                <w:rFonts w:hint="eastAsia" w:ascii="新宋体" w:hAnsi="新宋体" w:eastAsia="新宋体"/>
                <w:sz w:val="24"/>
              </w:rPr>
              <w:t xml:space="preserve">□  合资企业     □ 政府机构     □ 非盈利机构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职    位</w:t>
            </w:r>
          </w:p>
        </w:tc>
        <w:tc>
          <w:tcPr>
            <w:tcW w:w="1702" w:type="dxa"/>
            <w:shd w:val="clear" w:color="auto" w:fill="FFFFFF"/>
            <w:vAlign w:val="top"/>
          </w:tcPr>
          <w:p>
            <w:pPr>
              <w:tabs>
                <w:tab w:val="left" w:pos="3600"/>
              </w:tabs>
              <w:spacing w:line="500" w:lineRule="exact"/>
              <w:rPr>
                <w:rFonts w:hint="eastAsia" w:ascii="新宋体" w:hAnsi="新宋体" w:eastAsia="新宋体"/>
                <w:sz w:val="24"/>
              </w:rPr>
            </w:pPr>
          </w:p>
        </w:tc>
        <w:tc>
          <w:tcPr>
            <w:tcW w:w="1445"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我    是</w:t>
            </w:r>
          </w:p>
        </w:tc>
        <w:tc>
          <w:tcPr>
            <w:tcW w:w="5023" w:type="dxa"/>
            <w:gridSpan w:val="6"/>
            <w:shd w:val="clear" w:color="auto" w:fill="FFFFFF"/>
            <w:vAlign w:val="top"/>
          </w:tcPr>
          <w:p>
            <w:pPr>
              <w:tabs>
                <w:tab w:val="left" w:pos="3600"/>
              </w:tabs>
              <w:spacing w:line="500" w:lineRule="exact"/>
              <w:ind w:left="0" w:leftChars="0" w:firstLine="0" w:firstLineChars="0"/>
              <w:rPr>
                <w:rFonts w:hint="eastAsia" w:ascii="新宋体" w:hAnsi="新宋体" w:eastAsia="新宋体"/>
                <w:sz w:val="24"/>
              </w:rPr>
            </w:pPr>
            <w:r>
              <w:rPr>
                <w:rFonts w:hint="eastAsia" w:ascii="新宋体" w:hAnsi="新宋体" w:eastAsia="新宋体"/>
                <w:sz w:val="24"/>
              </w:rPr>
              <w:t>□企业主    □合伙人  □股东   □管理者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公司人数</w:t>
            </w:r>
          </w:p>
        </w:tc>
        <w:tc>
          <w:tcPr>
            <w:tcW w:w="1702" w:type="dxa"/>
            <w:shd w:val="clear" w:color="auto" w:fill="FFFFFF"/>
            <w:vAlign w:val="top"/>
          </w:tcPr>
          <w:p>
            <w:pPr>
              <w:tabs>
                <w:tab w:val="left" w:pos="3600"/>
              </w:tabs>
              <w:spacing w:line="500" w:lineRule="exact"/>
              <w:rPr>
                <w:rFonts w:hint="eastAsia" w:ascii="新宋体" w:hAnsi="新宋体" w:eastAsia="新宋体"/>
                <w:sz w:val="24"/>
              </w:rPr>
            </w:pPr>
          </w:p>
        </w:tc>
        <w:tc>
          <w:tcPr>
            <w:tcW w:w="1445"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总 资 产</w:t>
            </w:r>
          </w:p>
        </w:tc>
        <w:tc>
          <w:tcPr>
            <w:tcW w:w="5023" w:type="dxa"/>
            <w:gridSpan w:val="6"/>
            <w:shd w:val="clear" w:color="auto" w:fill="FFFFFF"/>
            <w:vAlign w:val="top"/>
          </w:tcPr>
          <w:p>
            <w:pPr>
              <w:tabs>
                <w:tab w:val="left" w:pos="3600"/>
              </w:tabs>
              <w:spacing w:line="500" w:lineRule="exac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70" w:type="dxa"/>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年营业额</w:t>
            </w:r>
          </w:p>
        </w:tc>
        <w:tc>
          <w:tcPr>
            <w:tcW w:w="1702" w:type="dxa"/>
            <w:shd w:val="clear" w:color="auto" w:fill="FFFFFF"/>
            <w:vAlign w:val="top"/>
          </w:tcPr>
          <w:p>
            <w:pPr>
              <w:tabs>
                <w:tab w:val="left" w:pos="3600"/>
              </w:tabs>
              <w:spacing w:line="500" w:lineRule="exact"/>
              <w:rPr>
                <w:rFonts w:hint="eastAsia" w:ascii="新宋体" w:hAnsi="新宋体" w:eastAsia="新宋体"/>
                <w:sz w:val="24"/>
              </w:rPr>
            </w:pPr>
          </w:p>
        </w:tc>
        <w:tc>
          <w:tcPr>
            <w:tcW w:w="1445" w:type="dxa"/>
            <w:gridSpan w:val="2"/>
            <w:shd w:val="clear" w:color="auto" w:fill="FFFFFF"/>
            <w:vAlign w:val="top"/>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年 利 润</w:t>
            </w:r>
          </w:p>
        </w:tc>
        <w:tc>
          <w:tcPr>
            <w:tcW w:w="5023" w:type="dxa"/>
            <w:gridSpan w:val="6"/>
            <w:shd w:val="clear" w:color="auto" w:fill="FFFFFF"/>
            <w:vAlign w:val="top"/>
          </w:tcPr>
          <w:p>
            <w:pPr>
              <w:tabs>
                <w:tab w:val="left" w:pos="3600"/>
              </w:tabs>
              <w:spacing w:line="500" w:lineRule="exac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9540" w:type="dxa"/>
            <w:gridSpan w:val="10"/>
            <w:shd w:val="clear" w:color="auto" w:fill="FFFFFF"/>
            <w:vAlign w:val="top"/>
          </w:tcPr>
          <w:p>
            <w:pPr>
              <w:tabs>
                <w:tab w:val="left" w:pos="3600"/>
              </w:tabs>
              <w:spacing w:line="360" w:lineRule="exact"/>
              <w:rPr>
                <w:rFonts w:hint="eastAsia" w:ascii="新宋体" w:hAnsi="新宋体" w:eastAsia="新宋体"/>
                <w:b/>
                <w:sz w:val="24"/>
              </w:rPr>
            </w:pPr>
            <w:r>
              <w:rPr>
                <w:rFonts w:hint="eastAsia" w:ascii="新宋体" w:hAnsi="新宋体" w:eastAsia="新宋体"/>
                <w:b/>
                <w:sz w:val="24"/>
              </w:rPr>
              <w:t>经营项目（产品）：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540" w:type="dxa"/>
            <w:gridSpan w:val="10"/>
            <w:tcBorders>
              <w:bottom w:val="single" w:color="auto" w:sz="4" w:space="0"/>
            </w:tcBorders>
            <w:shd w:val="clear" w:color="auto" w:fill="FFFFFF"/>
            <w:vAlign w:val="center"/>
          </w:tcPr>
          <w:p>
            <w:pPr>
              <w:tabs>
                <w:tab w:val="left" w:pos="1198"/>
              </w:tabs>
              <w:rPr>
                <w:rFonts w:hint="eastAsia" w:ascii="新宋体" w:hAnsi="新宋体" w:eastAsia="新宋体"/>
                <w:b/>
                <w:sz w:val="24"/>
              </w:rPr>
            </w:pPr>
            <w:r>
              <w:rPr>
                <w:rFonts w:hint="eastAsia" w:ascii="新宋体" w:hAnsi="新宋体" w:eastAsia="新宋体" w:cs="宋体"/>
                <w:b/>
                <w:kern w:val="0"/>
                <w:sz w:val="24"/>
              </w:rPr>
              <w:t>您经常阅读的报纸、杂志、书籍：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1370" w:type="dxa"/>
            <w:shd w:val="clear" w:color="auto" w:fill="FFFFFF"/>
            <w:vAlign w:val="center"/>
          </w:tcPr>
          <w:p>
            <w:pPr>
              <w:tabs>
                <w:tab w:val="left" w:pos="3600"/>
              </w:tabs>
              <w:jc w:val="center"/>
              <w:rPr>
                <w:rFonts w:hint="eastAsia" w:ascii="新宋体" w:hAnsi="新宋体" w:eastAsia="新宋体"/>
                <w:b/>
                <w:sz w:val="24"/>
              </w:rPr>
            </w:pPr>
            <w:r>
              <w:rPr>
                <w:rFonts w:hint="eastAsia" w:ascii="新宋体" w:hAnsi="新宋体" w:eastAsia="新宋体"/>
                <w:b/>
                <w:sz w:val="24"/>
              </w:rPr>
              <w:t>工作背景</w:t>
            </w:r>
          </w:p>
        </w:tc>
        <w:tc>
          <w:tcPr>
            <w:tcW w:w="8170" w:type="dxa"/>
            <w:gridSpan w:val="9"/>
            <w:shd w:val="clear" w:color="auto" w:fill="FFFFFF"/>
            <w:vAlign w:val="top"/>
          </w:tcPr>
          <w:p>
            <w:pPr>
              <w:widowControl/>
              <w:jc w:val="left"/>
              <w:rPr>
                <w:rFonts w:hint="eastAsia" w:ascii="新宋体" w:hAnsi="新宋体" w:eastAsia="新宋体" w:cs="宋体"/>
                <w:kern w:val="0"/>
                <w:sz w:val="24"/>
              </w:rPr>
            </w:pPr>
          </w:p>
          <w:p>
            <w:pPr>
              <w:widowControl/>
              <w:jc w:val="left"/>
              <w:rPr>
                <w:rFonts w:hint="eastAsia" w:ascii="新宋体" w:hAnsi="新宋体" w:eastAsia="新宋体" w:cs="宋体"/>
                <w:kern w:val="0"/>
                <w:sz w:val="24"/>
              </w:rPr>
            </w:pPr>
            <w:r>
              <w:rPr>
                <w:rFonts w:ascii="新宋体" w:hAnsi="新宋体" w:eastAsia="新宋体" w:cs="宋体"/>
                <w:kern w:val="0"/>
                <w:sz w:val="24"/>
              </w:rPr>
              <w:t>1.__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月至</w:t>
            </w:r>
            <w:r>
              <w:rPr>
                <w:rFonts w:ascii="新宋体" w:hAnsi="新宋体" w:eastAsia="新宋体" w:cs="宋体"/>
                <w:kern w:val="0"/>
                <w:sz w:val="24"/>
              </w:rPr>
              <w:t>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w:t>
            </w:r>
            <w:r>
              <w:rPr>
                <w:rFonts w:ascii="新宋体" w:hAnsi="新宋体" w:eastAsia="新宋体" w:cs="宋体"/>
                <w:kern w:val="0"/>
                <w:sz w:val="24"/>
              </w:rPr>
              <w:t>;</w:t>
            </w:r>
            <w:r>
              <w:rPr>
                <w:rFonts w:hint="eastAsia" w:ascii="新宋体" w:hAnsi="新宋体" w:eastAsia="新宋体" w:cs="宋体"/>
                <w:kern w:val="0"/>
                <w:sz w:val="24"/>
              </w:rPr>
              <w:t>任职单位</w:t>
            </w:r>
            <w:r>
              <w:rPr>
                <w:rFonts w:ascii="新宋体" w:hAnsi="新宋体" w:eastAsia="新宋体" w:cs="宋体"/>
                <w:kern w:val="0"/>
                <w:sz w:val="24"/>
              </w:rPr>
              <w:t xml:space="preserve">:_______________ </w:t>
            </w:r>
            <w:r>
              <w:rPr>
                <w:rFonts w:hint="eastAsia" w:ascii="新宋体" w:hAnsi="新宋体" w:eastAsia="新宋体" w:cs="宋体"/>
                <w:kern w:val="0"/>
                <w:sz w:val="24"/>
              </w:rPr>
              <w:t>职位</w:t>
            </w:r>
            <w:r>
              <w:rPr>
                <w:rFonts w:ascii="新宋体" w:hAnsi="新宋体" w:eastAsia="新宋体" w:cs="宋体"/>
                <w:kern w:val="0"/>
                <w:sz w:val="24"/>
              </w:rPr>
              <w:t>:________</w:t>
            </w:r>
          </w:p>
          <w:p>
            <w:pPr>
              <w:widowControl/>
              <w:jc w:val="left"/>
              <w:rPr>
                <w:rFonts w:hint="eastAsia" w:ascii="新宋体" w:hAnsi="新宋体" w:eastAsia="新宋体" w:cs="宋体"/>
                <w:kern w:val="0"/>
                <w:sz w:val="24"/>
              </w:rPr>
            </w:pPr>
          </w:p>
          <w:p>
            <w:pPr>
              <w:widowControl/>
              <w:jc w:val="left"/>
              <w:rPr>
                <w:rFonts w:hint="eastAsia" w:ascii="新宋体" w:hAnsi="新宋体" w:eastAsia="新宋体" w:cs="宋体"/>
                <w:kern w:val="0"/>
                <w:sz w:val="24"/>
              </w:rPr>
            </w:pPr>
            <w:r>
              <w:rPr>
                <w:rFonts w:ascii="新宋体" w:hAnsi="新宋体" w:eastAsia="新宋体" w:cs="宋体"/>
                <w:kern w:val="0"/>
                <w:sz w:val="24"/>
              </w:rPr>
              <w:t>2.__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月至</w:t>
            </w:r>
            <w:r>
              <w:rPr>
                <w:rFonts w:ascii="新宋体" w:hAnsi="新宋体" w:eastAsia="新宋体" w:cs="宋体"/>
                <w:kern w:val="0"/>
                <w:sz w:val="24"/>
              </w:rPr>
              <w:t>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w:t>
            </w:r>
            <w:r>
              <w:rPr>
                <w:rFonts w:ascii="新宋体" w:hAnsi="新宋体" w:eastAsia="新宋体" w:cs="宋体"/>
                <w:kern w:val="0"/>
                <w:sz w:val="24"/>
              </w:rPr>
              <w:t>;</w:t>
            </w:r>
            <w:r>
              <w:rPr>
                <w:rFonts w:hint="eastAsia" w:ascii="新宋体" w:hAnsi="新宋体" w:eastAsia="新宋体" w:cs="宋体"/>
                <w:kern w:val="0"/>
                <w:sz w:val="24"/>
              </w:rPr>
              <w:t>任职单位</w:t>
            </w:r>
            <w:r>
              <w:rPr>
                <w:rFonts w:ascii="新宋体" w:hAnsi="新宋体" w:eastAsia="新宋体" w:cs="宋体"/>
                <w:kern w:val="0"/>
                <w:sz w:val="24"/>
              </w:rPr>
              <w:t xml:space="preserve">:_______________ </w:t>
            </w:r>
            <w:r>
              <w:rPr>
                <w:rFonts w:hint="eastAsia" w:ascii="新宋体" w:hAnsi="新宋体" w:eastAsia="新宋体" w:cs="宋体"/>
                <w:kern w:val="0"/>
                <w:sz w:val="24"/>
              </w:rPr>
              <w:t>职位</w:t>
            </w:r>
            <w:r>
              <w:rPr>
                <w:rFonts w:ascii="新宋体" w:hAnsi="新宋体" w:eastAsia="新宋体" w:cs="宋体"/>
                <w:kern w:val="0"/>
                <w:sz w:val="24"/>
              </w:rPr>
              <w:t>:________</w:t>
            </w:r>
          </w:p>
          <w:p>
            <w:pPr>
              <w:tabs>
                <w:tab w:val="left" w:pos="3600"/>
              </w:tabs>
              <w:rPr>
                <w:rFonts w:hint="eastAsia" w:ascii="新宋体" w:hAnsi="新宋体" w:eastAsia="新宋体" w:cs="宋体"/>
                <w:kern w:val="0"/>
                <w:sz w:val="24"/>
              </w:rPr>
            </w:pPr>
          </w:p>
          <w:p>
            <w:pPr>
              <w:tabs>
                <w:tab w:val="left" w:pos="3600"/>
              </w:tabs>
              <w:rPr>
                <w:rFonts w:hint="eastAsia" w:ascii="新宋体" w:hAnsi="新宋体" w:eastAsia="新宋体" w:cs="宋体"/>
                <w:kern w:val="0"/>
                <w:sz w:val="24"/>
              </w:rPr>
            </w:pPr>
            <w:r>
              <w:rPr>
                <w:rFonts w:ascii="新宋体" w:hAnsi="新宋体" w:eastAsia="新宋体" w:cs="宋体"/>
                <w:kern w:val="0"/>
                <w:sz w:val="24"/>
              </w:rPr>
              <w:t>3.__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月至</w:t>
            </w:r>
            <w:r>
              <w:rPr>
                <w:rFonts w:ascii="新宋体" w:hAnsi="新宋体" w:eastAsia="新宋体" w:cs="宋体"/>
                <w:kern w:val="0"/>
                <w:sz w:val="24"/>
              </w:rPr>
              <w:t>__</w:t>
            </w:r>
            <w:r>
              <w:rPr>
                <w:rFonts w:hint="eastAsia" w:ascii="新宋体" w:hAnsi="新宋体" w:eastAsia="新宋体" w:cs="宋体"/>
                <w:kern w:val="0"/>
                <w:sz w:val="24"/>
              </w:rPr>
              <w:t>年</w:t>
            </w:r>
            <w:r>
              <w:rPr>
                <w:rFonts w:ascii="新宋体" w:hAnsi="新宋体" w:eastAsia="新宋体" w:cs="宋体"/>
                <w:kern w:val="0"/>
                <w:sz w:val="24"/>
              </w:rPr>
              <w:t>__</w:t>
            </w:r>
            <w:r>
              <w:rPr>
                <w:rFonts w:hint="eastAsia" w:ascii="新宋体" w:hAnsi="新宋体" w:eastAsia="新宋体" w:cs="宋体"/>
                <w:kern w:val="0"/>
                <w:sz w:val="24"/>
              </w:rPr>
              <w:t>月</w:t>
            </w:r>
            <w:r>
              <w:rPr>
                <w:rFonts w:ascii="新宋体" w:hAnsi="新宋体" w:eastAsia="新宋体" w:cs="宋体"/>
                <w:kern w:val="0"/>
                <w:sz w:val="24"/>
              </w:rPr>
              <w:t>;</w:t>
            </w:r>
            <w:r>
              <w:rPr>
                <w:rFonts w:hint="eastAsia" w:ascii="新宋体" w:hAnsi="新宋体" w:eastAsia="新宋体" w:cs="宋体"/>
                <w:kern w:val="0"/>
                <w:sz w:val="24"/>
              </w:rPr>
              <w:t>任职单位</w:t>
            </w:r>
            <w:r>
              <w:rPr>
                <w:rFonts w:ascii="新宋体" w:hAnsi="新宋体" w:eastAsia="新宋体" w:cs="宋体"/>
                <w:kern w:val="0"/>
                <w:sz w:val="24"/>
              </w:rPr>
              <w:t xml:space="preserve">:________________ </w:t>
            </w:r>
            <w:r>
              <w:rPr>
                <w:rFonts w:hint="eastAsia" w:ascii="新宋体" w:hAnsi="新宋体" w:eastAsia="新宋体" w:cs="宋体"/>
                <w:kern w:val="0"/>
                <w:sz w:val="24"/>
              </w:rPr>
              <w:t>职位</w:t>
            </w:r>
            <w:r>
              <w:rPr>
                <w:rFonts w:ascii="新宋体" w:hAnsi="新宋体" w:eastAsia="新宋体" w:cs="宋体"/>
                <w:kern w:val="0"/>
                <w:sz w:val="24"/>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30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rPr>
                <w:rFonts w:hint="eastAsia" w:ascii="新宋体" w:hAnsi="新宋体" w:eastAsia="新宋体"/>
                <w:b/>
                <w:sz w:val="24"/>
              </w:rPr>
            </w:pPr>
            <w:r>
              <w:rPr>
                <w:rFonts w:hint="eastAsia" w:ascii="新宋体" w:hAnsi="新宋体" w:eastAsia="新宋体"/>
                <w:b/>
                <w:sz w:val="24"/>
              </w:rPr>
              <w:t>学员签名：</w:t>
            </w:r>
          </w:p>
        </w:tc>
        <w:tc>
          <w:tcPr>
            <w:tcW w:w="12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left="0" w:leftChars="0" w:firstLine="0" w:firstLineChars="0"/>
              <w:jc w:val="both"/>
              <w:rPr>
                <w:rFonts w:hint="eastAsia" w:ascii="新宋体" w:hAnsi="新宋体" w:eastAsia="新宋体"/>
                <w:b/>
                <w:sz w:val="24"/>
              </w:rPr>
            </w:pPr>
            <w:r>
              <w:rPr>
                <w:rFonts w:hint="eastAsia" w:ascii="新宋体" w:hAnsi="新宋体" w:eastAsia="新宋体"/>
                <w:b/>
                <w:sz w:val="24"/>
              </w:rPr>
              <w:t>日    期</w:t>
            </w:r>
          </w:p>
        </w:tc>
        <w:tc>
          <w:tcPr>
            <w:tcW w:w="1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0"/>
              </w:tabs>
              <w:spacing w:line="500" w:lineRule="exact"/>
              <w:ind w:firstLine="360" w:firstLineChars="150"/>
              <w:rPr>
                <w:rFonts w:hint="eastAsia" w:ascii="新宋体" w:hAnsi="新宋体" w:eastAsia="新宋体"/>
                <w:sz w:val="24"/>
              </w:rPr>
            </w:pPr>
            <w:r>
              <w:rPr>
                <w:rFonts w:hint="eastAsia" w:ascii="新宋体" w:hAnsi="新宋体" w:eastAsia="新宋体"/>
                <w:sz w:val="24"/>
              </w:rPr>
              <w:t>年  月  日</w:t>
            </w:r>
          </w:p>
        </w:tc>
      </w:tr>
    </w:tbl>
    <w:p>
      <w:pPr>
        <w:widowControl/>
        <w:jc w:val="left"/>
        <w:rPr>
          <w:rFonts w:ascii="宋体" w:hAnsi="宋体" w:cs="宋体"/>
          <w:kern w:val="0"/>
          <w:sz w:val="28"/>
          <w:szCs w:val="28"/>
        </w:rPr>
      </w:pPr>
      <w:r>
        <w:rPr>
          <w:rFonts w:hint="eastAsia" w:ascii="新宋体" w:hAnsi="新宋体" w:eastAsia="新宋体" w:cs="宋体"/>
          <w:b/>
          <w:kern w:val="0"/>
          <w:szCs w:val="21"/>
        </w:rPr>
        <w:t>声   明：本人郑重声明以上所填内容完全属实</w:t>
      </w:r>
    </w:p>
    <w:p>
      <w:pPr>
        <w:spacing w:line="600" w:lineRule="auto"/>
        <w:ind w:right="-1052" w:rightChars="-501" w:firstLine="1080" w:firstLineChars="450"/>
        <w:rPr>
          <w:rFonts w:hint="eastAsia" w:ascii="宋体" w:hAnsi="宋体"/>
          <w:kern w:val="0"/>
          <w:sz w:val="24"/>
        </w:rPr>
      </w:pPr>
      <w:bookmarkStart w:id="0" w:name="_GoBack"/>
      <w:bookmarkEnd w:id="0"/>
    </w:p>
    <w:p>
      <w:pPr>
        <w:spacing w:line="600" w:lineRule="auto"/>
        <w:ind w:right="-1052" w:rightChars="-501" w:firstLine="1080" w:firstLineChars="450"/>
        <w:rPr>
          <w:rFonts w:hint="eastAsia" w:ascii="宋体" w:hAnsi="宋体"/>
          <w:kern w:val="0"/>
          <w:sz w:val="24"/>
        </w:rPr>
      </w:pPr>
    </w:p>
    <w:p>
      <w:pPr>
        <w:spacing w:line="600" w:lineRule="auto"/>
        <w:ind w:right="-1052" w:rightChars="-501" w:firstLine="1080" w:firstLineChars="450"/>
        <w:rPr>
          <w:rFonts w:hint="eastAsia" w:ascii="宋体" w:hAnsi="宋体"/>
          <w:kern w:val="0"/>
          <w:sz w:val="24"/>
        </w:rPr>
      </w:pPr>
    </w:p>
    <w:p>
      <w:pPr>
        <w:tabs>
          <w:tab w:val="left" w:pos="0"/>
        </w:tabs>
        <w:spacing w:line="240" w:lineRule="exact"/>
        <w:ind w:left="-359" w:leftChars="-171" w:firstLine="4891" w:firstLineChars="1740"/>
        <w:rPr>
          <w:rFonts w:ascii="宋体" w:hAnsi="宋体"/>
          <w:sz w:val="36"/>
          <w:szCs w:val="36"/>
        </w:rPr>
      </w:pPr>
    </w:p>
    <w:sectPr>
      <w:headerReference r:id="rId4" w:type="default"/>
      <w:footerReference r:id="rId5" w:type="default"/>
      <w:footerReference r:id="rId6" w:type="even"/>
      <w:pgSz w:w="11906" w:h="16838"/>
      <w:pgMar w:top="992" w:right="991" w:bottom="1246" w:left="1800" w:header="643" w:footer="102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MS Mincho">
    <w:panose1 w:val="02020609040205080304"/>
    <w:charset w:val="80"/>
    <w:family w:val="auto"/>
    <w:pitch w:val="default"/>
    <w:sig w:usb0="E00002FF" w:usb1="6AC7FDFB" w:usb2="00000012" w:usb3="00000000" w:csb0="4002009F" w:csb1="DFD70000"/>
  </w:font>
  <w:font w:name="＇Times New Roman＇">
    <w:altName w:val="宋体"/>
    <w:panose1 w:val="00000000000000000000"/>
    <w:charset w:val="86"/>
    <w:family w:val="roma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Align="top"/>
      <w:pBdr>
        <w:between w:val="none" w:color="auto" w:sz="50" w:space="0"/>
      </w:pBdr>
    </w:pPr>
    <w:r>
      <w:fldChar w:fldCharType="begin"/>
    </w:r>
    <w:r>
      <w:rPr>
        <w:rStyle w:val="9"/>
      </w:rPr>
      <w:instrText xml:space="preserve"> PAGE  </w:instrText>
    </w:r>
    <w:r>
      <w:fldChar w:fldCharType="separate"/>
    </w:r>
    <w:r>
      <w:rPr>
        <w:rStyle w:val="9"/>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88581487">
    <w:nsid w:val="7687586F"/>
    <w:multiLevelType w:val="multilevel"/>
    <w:tmpl w:val="7687586F"/>
    <w:lvl w:ilvl="0" w:tentative="1">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9885814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3491"/>
    <w:rsid w:val="000172B7"/>
    <w:rsid w:val="000203ED"/>
    <w:rsid w:val="00025B2A"/>
    <w:rsid w:val="000309FA"/>
    <w:rsid w:val="0003486E"/>
    <w:rsid w:val="00046023"/>
    <w:rsid w:val="000676D7"/>
    <w:rsid w:val="00070560"/>
    <w:rsid w:val="00072C9C"/>
    <w:rsid w:val="000943C8"/>
    <w:rsid w:val="000A0C7C"/>
    <w:rsid w:val="000B433E"/>
    <w:rsid w:val="000B4898"/>
    <w:rsid w:val="000C2013"/>
    <w:rsid w:val="000C585A"/>
    <w:rsid w:val="000E0B0E"/>
    <w:rsid w:val="000E20D6"/>
    <w:rsid w:val="000E287A"/>
    <w:rsid w:val="00101D9A"/>
    <w:rsid w:val="00110533"/>
    <w:rsid w:val="00111A7C"/>
    <w:rsid w:val="00116337"/>
    <w:rsid w:val="00120FD5"/>
    <w:rsid w:val="001221C3"/>
    <w:rsid w:val="00132B02"/>
    <w:rsid w:val="00134C1A"/>
    <w:rsid w:val="00146ED8"/>
    <w:rsid w:val="00152B45"/>
    <w:rsid w:val="001568C6"/>
    <w:rsid w:val="00161A90"/>
    <w:rsid w:val="00172A27"/>
    <w:rsid w:val="00177D85"/>
    <w:rsid w:val="00182F6B"/>
    <w:rsid w:val="00186A06"/>
    <w:rsid w:val="00186C14"/>
    <w:rsid w:val="001A359A"/>
    <w:rsid w:val="001C1BB1"/>
    <w:rsid w:val="001E0A0F"/>
    <w:rsid w:val="001E3165"/>
    <w:rsid w:val="001E74DB"/>
    <w:rsid w:val="001F28B5"/>
    <w:rsid w:val="001F3741"/>
    <w:rsid w:val="00210ECB"/>
    <w:rsid w:val="00217AFA"/>
    <w:rsid w:val="00230CF9"/>
    <w:rsid w:val="002328FB"/>
    <w:rsid w:val="00241D85"/>
    <w:rsid w:val="002455D4"/>
    <w:rsid w:val="00261B52"/>
    <w:rsid w:val="00270245"/>
    <w:rsid w:val="00285017"/>
    <w:rsid w:val="00294538"/>
    <w:rsid w:val="002B38B7"/>
    <w:rsid w:val="002C75AF"/>
    <w:rsid w:val="002D052F"/>
    <w:rsid w:val="002D2836"/>
    <w:rsid w:val="002D45FD"/>
    <w:rsid w:val="002F65D1"/>
    <w:rsid w:val="00320A4E"/>
    <w:rsid w:val="00321136"/>
    <w:rsid w:val="003221AF"/>
    <w:rsid w:val="00323FBD"/>
    <w:rsid w:val="003240ED"/>
    <w:rsid w:val="003256C4"/>
    <w:rsid w:val="00334F91"/>
    <w:rsid w:val="00335228"/>
    <w:rsid w:val="00335F1E"/>
    <w:rsid w:val="00342DD6"/>
    <w:rsid w:val="003478FE"/>
    <w:rsid w:val="00370324"/>
    <w:rsid w:val="003717D2"/>
    <w:rsid w:val="0038465A"/>
    <w:rsid w:val="00386C62"/>
    <w:rsid w:val="003B71C6"/>
    <w:rsid w:val="003C053C"/>
    <w:rsid w:val="003C672F"/>
    <w:rsid w:val="003E6E25"/>
    <w:rsid w:val="003F25A4"/>
    <w:rsid w:val="00407F83"/>
    <w:rsid w:val="0041585B"/>
    <w:rsid w:val="00416ECC"/>
    <w:rsid w:val="00417469"/>
    <w:rsid w:val="00424143"/>
    <w:rsid w:val="00427D5B"/>
    <w:rsid w:val="004435C1"/>
    <w:rsid w:val="00456DF7"/>
    <w:rsid w:val="004606B3"/>
    <w:rsid w:val="004611EE"/>
    <w:rsid w:val="0049092F"/>
    <w:rsid w:val="004918B8"/>
    <w:rsid w:val="00491B64"/>
    <w:rsid w:val="00494BAF"/>
    <w:rsid w:val="00494CD7"/>
    <w:rsid w:val="004C5592"/>
    <w:rsid w:val="004F002F"/>
    <w:rsid w:val="004F2C5C"/>
    <w:rsid w:val="004F509F"/>
    <w:rsid w:val="005334FB"/>
    <w:rsid w:val="00546037"/>
    <w:rsid w:val="005533EC"/>
    <w:rsid w:val="005654FB"/>
    <w:rsid w:val="005B34A3"/>
    <w:rsid w:val="005B44C5"/>
    <w:rsid w:val="005C14EC"/>
    <w:rsid w:val="005C640B"/>
    <w:rsid w:val="005D1B0D"/>
    <w:rsid w:val="005E3242"/>
    <w:rsid w:val="005E37DB"/>
    <w:rsid w:val="005F2446"/>
    <w:rsid w:val="006022E8"/>
    <w:rsid w:val="00603A79"/>
    <w:rsid w:val="00611AA7"/>
    <w:rsid w:val="00611ACB"/>
    <w:rsid w:val="00625130"/>
    <w:rsid w:val="00627403"/>
    <w:rsid w:val="006303B7"/>
    <w:rsid w:val="006477FF"/>
    <w:rsid w:val="0065725E"/>
    <w:rsid w:val="0068300A"/>
    <w:rsid w:val="00683E9D"/>
    <w:rsid w:val="00684470"/>
    <w:rsid w:val="006910B6"/>
    <w:rsid w:val="006B3A8D"/>
    <w:rsid w:val="006E1E21"/>
    <w:rsid w:val="006E5C10"/>
    <w:rsid w:val="006F781A"/>
    <w:rsid w:val="00701D13"/>
    <w:rsid w:val="00710B4A"/>
    <w:rsid w:val="00711A36"/>
    <w:rsid w:val="00722C6C"/>
    <w:rsid w:val="0074434A"/>
    <w:rsid w:val="00744C4F"/>
    <w:rsid w:val="00751109"/>
    <w:rsid w:val="00751A18"/>
    <w:rsid w:val="00752D76"/>
    <w:rsid w:val="00793AF2"/>
    <w:rsid w:val="007D0E36"/>
    <w:rsid w:val="007D3877"/>
    <w:rsid w:val="007E2D24"/>
    <w:rsid w:val="007E52DD"/>
    <w:rsid w:val="007F2DD3"/>
    <w:rsid w:val="00820119"/>
    <w:rsid w:val="00821DE1"/>
    <w:rsid w:val="00824AC8"/>
    <w:rsid w:val="00825044"/>
    <w:rsid w:val="00830484"/>
    <w:rsid w:val="00830C96"/>
    <w:rsid w:val="00834A40"/>
    <w:rsid w:val="0084415E"/>
    <w:rsid w:val="00855C7F"/>
    <w:rsid w:val="0088432C"/>
    <w:rsid w:val="00884403"/>
    <w:rsid w:val="00886041"/>
    <w:rsid w:val="00892D13"/>
    <w:rsid w:val="0089482F"/>
    <w:rsid w:val="008951F5"/>
    <w:rsid w:val="008968EB"/>
    <w:rsid w:val="0089703D"/>
    <w:rsid w:val="008A0F57"/>
    <w:rsid w:val="008A393E"/>
    <w:rsid w:val="008A7648"/>
    <w:rsid w:val="008D0600"/>
    <w:rsid w:val="008D7EE7"/>
    <w:rsid w:val="008F215C"/>
    <w:rsid w:val="008F46AA"/>
    <w:rsid w:val="00900EBF"/>
    <w:rsid w:val="009012B3"/>
    <w:rsid w:val="00901CE5"/>
    <w:rsid w:val="0094261E"/>
    <w:rsid w:val="0094621D"/>
    <w:rsid w:val="00965231"/>
    <w:rsid w:val="00982680"/>
    <w:rsid w:val="00983382"/>
    <w:rsid w:val="009B05DC"/>
    <w:rsid w:val="009B4235"/>
    <w:rsid w:val="009C4139"/>
    <w:rsid w:val="009C7FA1"/>
    <w:rsid w:val="009D2601"/>
    <w:rsid w:val="009D4B67"/>
    <w:rsid w:val="009E0759"/>
    <w:rsid w:val="00A048DE"/>
    <w:rsid w:val="00A06C98"/>
    <w:rsid w:val="00A35C38"/>
    <w:rsid w:val="00A60B8A"/>
    <w:rsid w:val="00A63EDF"/>
    <w:rsid w:val="00A64F4B"/>
    <w:rsid w:val="00A843EF"/>
    <w:rsid w:val="00A854E0"/>
    <w:rsid w:val="00A86E92"/>
    <w:rsid w:val="00AA34EA"/>
    <w:rsid w:val="00AB3ECE"/>
    <w:rsid w:val="00AC1000"/>
    <w:rsid w:val="00AC3770"/>
    <w:rsid w:val="00AD3C88"/>
    <w:rsid w:val="00AF37A8"/>
    <w:rsid w:val="00AF3FD8"/>
    <w:rsid w:val="00AF6F21"/>
    <w:rsid w:val="00B010F1"/>
    <w:rsid w:val="00B013BE"/>
    <w:rsid w:val="00B0546B"/>
    <w:rsid w:val="00B05772"/>
    <w:rsid w:val="00B1295B"/>
    <w:rsid w:val="00B44F2F"/>
    <w:rsid w:val="00B54A35"/>
    <w:rsid w:val="00B561CA"/>
    <w:rsid w:val="00B62886"/>
    <w:rsid w:val="00B8712B"/>
    <w:rsid w:val="00BA47D6"/>
    <w:rsid w:val="00BA5253"/>
    <w:rsid w:val="00BA759B"/>
    <w:rsid w:val="00BB6917"/>
    <w:rsid w:val="00BB7602"/>
    <w:rsid w:val="00BC22FE"/>
    <w:rsid w:val="00BE23E9"/>
    <w:rsid w:val="00BE5F5B"/>
    <w:rsid w:val="00BF405F"/>
    <w:rsid w:val="00BF5603"/>
    <w:rsid w:val="00BF6397"/>
    <w:rsid w:val="00C00C6A"/>
    <w:rsid w:val="00C03E4B"/>
    <w:rsid w:val="00C12028"/>
    <w:rsid w:val="00C246F1"/>
    <w:rsid w:val="00C27A93"/>
    <w:rsid w:val="00C355C6"/>
    <w:rsid w:val="00C377E5"/>
    <w:rsid w:val="00C63704"/>
    <w:rsid w:val="00C64536"/>
    <w:rsid w:val="00C85DA1"/>
    <w:rsid w:val="00C90ACB"/>
    <w:rsid w:val="00C90D97"/>
    <w:rsid w:val="00CB0A65"/>
    <w:rsid w:val="00CD26C1"/>
    <w:rsid w:val="00CD6957"/>
    <w:rsid w:val="00CE558C"/>
    <w:rsid w:val="00CE7528"/>
    <w:rsid w:val="00CF0506"/>
    <w:rsid w:val="00CF218B"/>
    <w:rsid w:val="00CF5109"/>
    <w:rsid w:val="00CF59BB"/>
    <w:rsid w:val="00CF7592"/>
    <w:rsid w:val="00D229BF"/>
    <w:rsid w:val="00D3337A"/>
    <w:rsid w:val="00D3479E"/>
    <w:rsid w:val="00D36ACC"/>
    <w:rsid w:val="00D54245"/>
    <w:rsid w:val="00D64A01"/>
    <w:rsid w:val="00D75917"/>
    <w:rsid w:val="00D869A7"/>
    <w:rsid w:val="00D87177"/>
    <w:rsid w:val="00D87D6F"/>
    <w:rsid w:val="00D907D3"/>
    <w:rsid w:val="00D940F6"/>
    <w:rsid w:val="00DA2857"/>
    <w:rsid w:val="00DA761E"/>
    <w:rsid w:val="00DB292C"/>
    <w:rsid w:val="00DB68B4"/>
    <w:rsid w:val="00DC42DA"/>
    <w:rsid w:val="00DD206E"/>
    <w:rsid w:val="00DE6AA2"/>
    <w:rsid w:val="00E26082"/>
    <w:rsid w:val="00E40E25"/>
    <w:rsid w:val="00E40ECB"/>
    <w:rsid w:val="00E411F9"/>
    <w:rsid w:val="00E461E1"/>
    <w:rsid w:val="00E6681F"/>
    <w:rsid w:val="00E668BF"/>
    <w:rsid w:val="00E73242"/>
    <w:rsid w:val="00E733CE"/>
    <w:rsid w:val="00E866AD"/>
    <w:rsid w:val="00E90761"/>
    <w:rsid w:val="00EA1642"/>
    <w:rsid w:val="00EA1711"/>
    <w:rsid w:val="00EB1C68"/>
    <w:rsid w:val="00EB52A2"/>
    <w:rsid w:val="00EC48BC"/>
    <w:rsid w:val="00EC534C"/>
    <w:rsid w:val="00EE4E9E"/>
    <w:rsid w:val="00EF2E93"/>
    <w:rsid w:val="00F01CE8"/>
    <w:rsid w:val="00F033C6"/>
    <w:rsid w:val="00F04825"/>
    <w:rsid w:val="00F12B9B"/>
    <w:rsid w:val="00F138E3"/>
    <w:rsid w:val="00F32167"/>
    <w:rsid w:val="00F56309"/>
    <w:rsid w:val="00F6289C"/>
    <w:rsid w:val="00FA1445"/>
    <w:rsid w:val="00FB0F38"/>
    <w:rsid w:val="00FB52A2"/>
    <w:rsid w:val="00FC7DCD"/>
    <w:rsid w:val="00FD0E07"/>
    <w:rsid w:val="00FD5782"/>
    <w:rsid w:val="00FE20A1"/>
    <w:rsid w:val="00FF6678"/>
    <w:rsid w:val="065E4B7E"/>
    <w:rsid w:val="11206427"/>
    <w:rsid w:val="16E40C56"/>
    <w:rsid w:val="201477E9"/>
    <w:rsid w:val="22D97EBC"/>
    <w:rsid w:val="2F062BB5"/>
    <w:rsid w:val="36DC3513"/>
    <w:rsid w:val="3BF8002A"/>
    <w:rsid w:val="413F4D5A"/>
    <w:rsid w:val="45BA3245"/>
    <w:rsid w:val="6F196CD5"/>
    <w:rsid w:val="751A43AC"/>
    <w:rsid w:val="7C95297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Body Text Indent"/>
    <w:basedOn w:val="1"/>
    <w:uiPriority w:val="0"/>
    <w:pPr>
      <w:ind w:firstLine="480" w:firstLineChars="200"/>
    </w:pPr>
    <w:rPr>
      <w:sz w:val="24"/>
    </w:rPr>
  </w:style>
  <w:style w:type="paragraph" w:styleId="3">
    <w:name w:val="Balloon Text"/>
    <w:basedOn w:val="1"/>
    <w:link w:val="13"/>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page number"/>
    <w:basedOn w:val="7"/>
    <w:uiPriority w:val="0"/>
    <w:rPr/>
  </w:style>
  <w:style w:type="character" w:styleId="10">
    <w:name w:val="Hyperlink"/>
    <w:basedOn w:val="7"/>
    <w:uiPriority w:val="0"/>
    <w:rPr>
      <w:color w:val="0000FF"/>
      <w:u w:val="single"/>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457</Words>
  <Characters>2611</Characters>
  <Lines>21</Lines>
  <Paragraphs>6</Paragraphs>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2015-03-03T04:13:00Z</dcterms:created>
  <dc:creator>USER</dc:creator>
  <cp:lastModifiedBy>ChengFeng</cp:lastModifiedBy>
  <cp:lastPrinted>2015-03-12T01:52:00Z</cp:lastPrinted>
  <dcterms:modified xsi:type="dcterms:W3CDTF">2015-07-23T02:08:09Z</dcterms:modified>
  <dc:title>标准文档</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