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2"/>
          <w:szCs w:val="32"/>
        </w:rPr>
      </w:pPr>
      <w:r>
        <w:rPr>
          <w:rFonts w:hint="eastAsia" w:ascii="微软雅黑" w:hAnsi="微软雅黑" w:eastAsia="微软雅黑"/>
          <w:b/>
          <w:sz w:val="32"/>
          <w:szCs w:val="32"/>
        </w:rPr>
        <w:t>西安</w:t>
      </w:r>
      <w:r>
        <w:rPr>
          <w:rFonts w:ascii="微软雅黑" w:hAnsi="微软雅黑" w:eastAsia="微软雅黑"/>
          <w:b/>
          <w:sz w:val="32"/>
          <w:szCs w:val="32"/>
        </w:rPr>
        <w:t>外</w:t>
      </w:r>
      <w:r>
        <w:rPr>
          <w:rFonts w:hint="eastAsia" w:ascii="微软雅黑" w:hAnsi="微软雅黑" w:eastAsia="微软雅黑"/>
          <w:b/>
          <w:sz w:val="32"/>
          <w:szCs w:val="32"/>
        </w:rPr>
        <w:t>国语</w:t>
      </w:r>
      <w:r>
        <w:rPr>
          <w:rFonts w:ascii="微软雅黑" w:hAnsi="微软雅黑" w:eastAsia="微软雅黑"/>
          <w:b/>
          <w:sz w:val="32"/>
          <w:szCs w:val="32"/>
        </w:rPr>
        <w:t>大学同等学力研究生教育</w:t>
      </w:r>
    </w:p>
    <w:p>
      <w:pPr>
        <w:jc w:val="center"/>
        <w:rPr>
          <w:rFonts w:ascii="微软雅黑" w:hAnsi="微软雅黑" w:eastAsia="微软雅黑"/>
          <w:b/>
          <w:sz w:val="32"/>
          <w:szCs w:val="32"/>
        </w:rPr>
      </w:pPr>
      <w:r>
        <w:rPr>
          <w:rFonts w:hint="eastAsia" w:ascii="微软雅黑" w:hAnsi="微软雅黑" w:eastAsia="微软雅黑"/>
          <w:b/>
          <w:color w:val="FF0000"/>
          <w:sz w:val="32"/>
          <w:szCs w:val="32"/>
        </w:rPr>
        <w:t>应用经济学</w:t>
      </w:r>
      <w:r>
        <w:rPr>
          <w:rFonts w:ascii="微软雅黑" w:hAnsi="微软雅黑" w:eastAsia="微软雅黑"/>
          <w:b/>
          <w:sz w:val="32"/>
          <w:szCs w:val="32"/>
        </w:rPr>
        <w:t>专业培养大纲</w:t>
      </w:r>
    </w:p>
    <w:p>
      <w:pPr>
        <w:rPr>
          <w:rFonts w:hint="eastAsia" w:ascii="微软雅黑" w:hAnsi="微软雅黑" w:eastAsia="微软雅黑"/>
          <w:b/>
          <w:sz w:val="32"/>
          <w:szCs w:val="32"/>
        </w:rPr>
      </w:pPr>
    </w:p>
    <w:p>
      <w:pPr>
        <w:widowControl/>
        <w:adjustRightInd w:val="0"/>
        <w:snapToGrid w:val="0"/>
        <w:spacing w:line="300" w:lineRule="auto"/>
        <w:ind w:firstLine="482"/>
        <w:jc w:val="left"/>
        <w:rPr>
          <w:rFonts w:ascii="微软雅黑" w:hAnsi="微软雅黑" w:eastAsia="微软雅黑"/>
          <w:b/>
          <w:color w:val="333333"/>
          <w:sz w:val="24"/>
          <w:szCs w:val="24"/>
          <w:shd w:val="clear" w:color="auto" w:fill="FFFFFF"/>
        </w:rPr>
      </w:pPr>
      <w:r>
        <w:rPr>
          <w:rFonts w:hint="eastAsia" w:ascii="微软雅黑" w:hAnsi="微软雅黑" w:eastAsia="微软雅黑"/>
          <w:b/>
          <w:color w:val="333333"/>
          <w:sz w:val="24"/>
          <w:szCs w:val="24"/>
          <w:shd w:val="clear" w:color="auto" w:fill="FFFFFF"/>
        </w:rPr>
        <w:t>院校简介：</w:t>
      </w:r>
    </w:p>
    <w:p>
      <w:pPr>
        <w:widowControl/>
        <w:adjustRightInd w:val="0"/>
        <w:snapToGrid w:val="0"/>
        <w:spacing w:line="300" w:lineRule="auto"/>
        <w:ind w:firstLine="482"/>
        <w:jc w:val="left"/>
        <w:rPr>
          <w:rFonts w:ascii="微软雅黑" w:hAnsi="微软雅黑" w:eastAsia="微软雅黑"/>
          <w:b/>
          <w:color w:val="333333"/>
          <w:sz w:val="24"/>
          <w:szCs w:val="24"/>
          <w:shd w:val="clear" w:color="auto" w:fill="FFFFFF"/>
        </w:rPr>
      </w:pPr>
      <w:r>
        <w:rPr>
          <w:rFonts w:hint="eastAsia" w:ascii="微软雅黑" w:hAnsi="微软雅黑" w:eastAsia="微软雅黑"/>
          <w:b/>
          <w:color w:val="333333"/>
          <w:sz w:val="24"/>
          <w:szCs w:val="24"/>
          <w:shd w:val="clear" w:color="auto" w:fill="FFFFFF"/>
        </w:rPr>
        <w:t>西安外国语大学是新中国最早建立的</w:t>
      </w:r>
      <w:r>
        <w:rPr>
          <w:rFonts w:ascii="微软雅黑" w:hAnsi="微软雅黑" w:eastAsia="微软雅黑"/>
          <w:b/>
          <w:color w:val="333333"/>
          <w:sz w:val="24"/>
          <w:szCs w:val="24"/>
          <w:shd w:val="clear" w:color="auto" w:fill="FFFFFF"/>
        </w:rPr>
        <w:t>4所外语院校之一，是西北地区唯一一所主要外语语种齐全的普通高校。现有外国语言文学博士一级学科学位授权点，16个二级学科博士点和1个博士后科研流动站，与国外8所大学联合培养博士研究生，入选陕西省“国内一流学科建设高校”。</w:t>
      </w:r>
    </w:p>
    <w:p>
      <w:pPr>
        <w:widowControl/>
        <w:adjustRightInd w:val="0"/>
        <w:snapToGrid w:val="0"/>
        <w:spacing w:line="300" w:lineRule="auto"/>
        <w:ind w:firstLine="482"/>
        <w:jc w:val="left"/>
        <w:rPr>
          <w:rFonts w:hint="eastAsia" w:ascii="微软雅黑" w:hAnsi="微软雅黑" w:eastAsia="微软雅黑"/>
          <w:b/>
          <w:color w:val="333333"/>
          <w:sz w:val="24"/>
          <w:szCs w:val="24"/>
          <w:shd w:val="clear" w:color="auto" w:fill="FFFFFF"/>
        </w:rPr>
      </w:pPr>
      <w:r>
        <w:rPr>
          <w:rFonts w:hint="eastAsia" w:ascii="微软雅黑" w:hAnsi="微软雅黑" w:eastAsia="微软雅黑"/>
          <w:b/>
          <w:color w:val="333333"/>
          <w:sz w:val="24"/>
          <w:szCs w:val="24"/>
          <w:shd w:val="clear" w:color="auto" w:fill="FFFFFF"/>
        </w:rPr>
        <w:t>现有外国语言文学、马克思主义理论、教育学、中国语言文学、应用经济学、政治学、新闻传播学、地理学、工商管理等</w:t>
      </w:r>
      <w:r>
        <w:rPr>
          <w:rFonts w:ascii="微软雅黑" w:hAnsi="微软雅黑" w:eastAsia="微软雅黑"/>
          <w:b/>
          <w:color w:val="333333"/>
          <w:sz w:val="24"/>
          <w:szCs w:val="24"/>
          <w:shd w:val="clear" w:color="auto" w:fill="FFFFFF"/>
        </w:rPr>
        <w:t>9个硕士一级学位授权点，47个二级学位授权点，翻译、汉语国际教育、旅游管理、会计、新闻传播、教育、金融、国际商务、艺术等9个硕士专业学位授权点。</w:t>
      </w:r>
    </w:p>
    <w:p>
      <w:pPr>
        <w:widowControl/>
        <w:adjustRightInd w:val="0"/>
        <w:snapToGrid w:val="0"/>
        <w:spacing w:line="300" w:lineRule="auto"/>
        <w:ind w:firstLine="482"/>
        <w:jc w:val="left"/>
        <w:rPr>
          <w:rFonts w:ascii="微软雅黑" w:hAnsi="微软雅黑" w:eastAsia="微软雅黑"/>
          <w:b/>
          <w:color w:val="333333"/>
          <w:sz w:val="24"/>
          <w:szCs w:val="24"/>
          <w:shd w:val="clear" w:color="auto" w:fill="FFFFFF"/>
        </w:rPr>
      </w:pPr>
    </w:p>
    <w:p>
      <w:pPr>
        <w:widowControl/>
        <w:adjustRightInd w:val="0"/>
        <w:snapToGrid w:val="0"/>
        <w:spacing w:line="300" w:lineRule="auto"/>
        <w:ind w:firstLine="482"/>
        <w:jc w:val="left"/>
        <w:rPr>
          <w:rFonts w:ascii="微软雅黑" w:hAnsi="微软雅黑" w:eastAsia="微软雅黑"/>
          <w:b/>
          <w:color w:val="333333"/>
          <w:sz w:val="24"/>
          <w:szCs w:val="24"/>
          <w:shd w:val="clear" w:color="auto" w:fill="FFFFFF"/>
        </w:rPr>
      </w:pPr>
      <w:r>
        <w:rPr>
          <w:rFonts w:hint="eastAsia" w:ascii="微软雅黑" w:hAnsi="微软雅黑" w:eastAsia="微软雅黑"/>
          <w:b/>
          <w:color w:val="333333"/>
          <w:sz w:val="24"/>
          <w:szCs w:val="24"/>
          <w:shd w:val="clear" w:color="auto" w:fill="FFFFFF"/>
        </w:rPr>
        <w:t>一、培养目标</w:t>
      </w:r>
      <w:bookmarkStart w:id="0" w:name="_GoBack"/>
      <w:bookmarkEnd w:id="0"/>
    </w:p>
    <w:p>
      <w:pPr>
        <w:spacing w:line="400" w:lineRule="exact"/>
        <w:ind w:firstLine="480" w:firstLineChars="200"/>
        <w:jc w:val="left"/>
        <w:rPr>
          <w:rFonts w:ascii="宋体" w:hAnsi="宋体" w:eastAsia="宋体"/>
          <w:color w:val="121212"/>
          <w:sz w:val="24"/>
          <w:szCs w:val="24"/>
          <w:shd w:val="clear" w:color="auto" w:fill="FFFFFF"/>
        </w:rPr>
      </w:pPr>
      <w:r>
        <w:rPr>
          <w:rFonts w:hint="eastAsia" w:ascii="宋体" w:hAnsi="宋体" w:eastAsia="宋体"/>
          <w:color w:val="333333"/>
          <w:sz w:val="24"/>
          <w:szCs w:val="24"/>
          <w:shd w:val="clear" w:color="auto" w:fill="FFFFFF"/>
        </w:rPr>
        <w:t>本专业致力培养具备良好政治思想和职业道德素养，</w:t>
      </w:r>
      <w:r>
        <w:rPr>
          <w:rFonts w:hint="eastAsia" w:ascii="宋体" w:hAnsi="宋体" w:eastAsia="宋体" w:cs="Times New Roman"/>
          <w:color w:val="000000"/>
          <w:kern w:val="0"/>
          <w:sz w:val="24"/>
          <w:szCs w:val="24"/>
          <w:shd w:val="clear" w:color="auto" w:fill="FFFFFF"/>
        </w:rPr>
        <w:t>严谨求实的科学态度和较强的学习研究能力，具有较高经济金融学理论水平及应用能力，</w:t>
      </w:r>
      <w:r>
        <w:rPr>
          <w:rFonts w:hint="eastAsia" w:ascii="宋体" w:hAnsi="宋体" w:eastAsia="宋体"/>
          <w:color w:val="121212"/>
          <w:sz w:val="24"/>
          <w:szCs w:val="24"/>
          <w:shd w:val="clear" w:color="auto" w:fill="FFFFFF"/>
        </w:rPr>
        <w:t>善于</w:t>
      </w:r>
      <w:r>
        <w:rPr>
          <w:rFonts w:hint="eastAsia" w:ascii="宋体" w:hAnsi="宋体" w:eastAsia="宋体" w:cs="Times New Roman"/>
          <w:color w:val="000000"/>
          <w:kern w:val="0"/>
          <w:sz w:val="24"/>
          <w:szCs w:val="24"/>
          <w:shd w:val="clear" w:color="auto" w:fill="FFFFFF"/>
        </w:rPr>
        <w:t>观察、分析和解决现实经济问题的高层次专门人才。</w:t>
      </w:r>
    </w:p>
    <w:p>
      <w:pPr>
        <w:spacing w:line="400" w:lineRule="exact"/>
        <w:ind w:firstLine="480" w:firstLineChars="200"/>
        <w:jc w:val="left"/>
        <w:rPr>
          <w:rFonts w:asciiTheme="minorEastAsia" w:hAnsiTheme="minorEastAsia"/>
          <w:color w:val="333333"/>
          <w:sz w:val="24"/>
          <w:szCs w:val="24"/>
          <w:shd w:val="clear" w:color="auto" w:fill="FFFFFF"/>
        </w:rPr>
      </w:pPr>
    </w:p>
    <w:p>
      <w:pPr>
        <w:widowControl/>
        <w:adjustRightInd w:val="0"/>
        <w:snapToGrid w:val="0"/>
        <w:spacing w:line="300" w:lineRule="auto"/>
        <w:ind w:firstLine="482"/>
        <w:jc w:val="left"/>
        <w:rPr>
          <w:rFonts w:ascii="微软雅黑" w:hAnsi="微软雅黑" w:eastAsia="微软雅黑"/>
          <w:b/>
          <w:color w:val="333333"/>
          <w:sz w:val="24"/>
          <w:szCs w:val="24"/>
          <w:shd w:val="clear" w:color="auto" w:fill="FFFFFF"/>
        </w:rPr>
      </w:pPr>
      <w:r>
        <w:rPr>
          <w:rFonts w:hint="eastAsia" w:ascii="微软雅黑" w:hAnsi="微软雅黑" w:eastAsia="微软雅黑"/>
          <w:b/>
          <w:color w:val="333333"/>
          <w:sz w:val="24"/>
          <w:szCs w:val="24"/>
          <w:shd w:val="clear" w:color="auto" w:fill="FFFFFF"/>
        </w:rPr>
        <w:t>二、课程设置</w:t>
      </w:r>
    </w:p>
    <w:p>
      <w:pPr>
        <w:pStyle w:val="2"/>
        <w:shd w:val="clear" w:color="auto" w:fill="FFFFFF"/>
        <w:spacing w:before="0" w:beforeAutospacing="0" w:after="0" w:afterAutospacing="0" w:line="400" w:lineRule="atLeast"/>
        <w:ind w:firstLine="480" w:firstLineChars="200"/>
        <w:rPr>
          <w:b w:val="0"/>
          <w:color w:val="333333"/>
          <w:shd w:val="clear" w:color="auto" w:fill="FFFFFF"/>
        </w:rPr>
      </w:pPr>
      <w:r>
        <w:rPr>
          <w:rFonts w:hint="eastAsia"/>
          <w:b w:val="0"/>
          <w:color w:val="333333"/>
          <w:shd w:val="clear" w:color="auto" w:fill="FFFFFF"/>
        </w:rPr>
        <w:t>课程设置依据</w:t>
      </w:r>
      <w:r>
        <w:rPr>
          <w:rFonts w:hint="eastAsia"/>
          <w:b w:val="0"/>
          <w:color w:val="000000"/>
          <w:shd w:val="clear" w:color="auto" w:fill="FFFFFF"/>
        </w:rPr>
        <w:t>国务院学位委员会相关</w:t>
      </w:r>
      <w:r>
        <w:rPr>
          <w:rFonts w:cs="Helvetica"/>
          <w:b w:val="0"/>
          <w:bCs w:val="0"/>
          <w:color w:val="212121"/>
        </w:rPr>
        <w:t>要求</w:t>
      </w:r>
      <w:r>
        <w:rPr>
          <w:rFonts w:hint="eastAsia" w:cs="Helvetica"/>
          <w:b w:val="0"/>
          <w:bCs w:val="0"/>
          <w:color w:val="212121"/>
        </w:rPr>
        <w:t>，并</w:t>
      </w:r>
      <w:r>
        <w:rPr>
          <w:rFonts w:hint="eastAsia"/>
          <w:b w:val="0"/>
          <w:color w:val="333333"/>
          <w:shd w:val="clear" w:color="auto" w:fill="FFFFFF"/>
        </w:rPr>
        <w:t>结合西安外国语大学教学特色进行设计，</w:t>
      </w:r>
      <w:r>
        <w:rPr>
          <w:rFonts w:hint="eastAsia"/>
          <w:b w:val="0"/>
          <w:color w:val="323232"/>
        </w:rPr>
        <w:t>研究生课程</w:t>
      </w:r>
      <w:r>
        <w:rPr>
          <w:rFonts w:hint="eastAsia"/>
          <w:b w:val="0"/>
          <w:color w:val="333333"/>
          <w:shd w:val="clear" w:color="auto" w:fill="FFFFFF"/>
        </w:rPr>
        <w:t>包括公共必修课4门、专业（基础）必修课4门、专业选修课8门，共计36学分（</w:t>
      </w:r>
      <w:r>
        <w:rPr>
          <w:rFonts w:hint="eastAsia"/>
          <w:b w:val="0"/>
          <w:color w:val="000000"/>
        </w:rPr>
        <w:t>课程设置详见以下附表</w:t>
      </w:r>
      <w:r>
        <w:rPr>
          <w:rFonts w:hint="eastAsia"/>
          <w:b w:val="0"/>
          <w:color w:val="333333"/>
          <w:shd w:val="clear" w:color="auto" w:fill="FFFFFF"/>
        </w:rPr>
        <w:t>）。</w:t>
      </w:r>
    </w:p>
    <w:p>
      <w:pPr>
        <w:pStyle w:val="2"/>
        <w:shd w:val="clear" w:color="auto" w:fill="FFFFFF"/>
        <w:spacing w:before="0" w:beforeAutospacing="0" w:after="0" w:afterAutospacing="0" w:line="360" w:lineRule="atLeast"/>
        <w:rPr>
          <w:b w:val="0"/>
          <w:color w:val="333333"/>
          <w:shd w:val="clear" w:color="auto" w:fill="FFFFFF"/>
        </w:rPr>
      </w:pPr>
    </w:p>
    <w:tbl>
      <w:tblPr>
        <w:tblStyle w:val="7"/>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804"/>
        <w:gridCol w:w="2446"/>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华文仿宋" w:hAnsi="华文仿宋" w:eastAsia="华文仿宋" w:cs="宋体"/>
                <w:sz w:val="24"/>
                <w:szCs w:val="24"/>
              </w:rPr>
            </w:pPr>
            <w:r>
              <w:rPr>
                <w:rFonts w:hint="eastAsia" w:ascii="华文仿宋" w:hAnsi="华文仿宋" w:eastAsia="华文仿宋" w:cs="宋体"/>
                <w:sz w:val="24"/>
                <w:szCs w:val="24"/>
              </w:rPr>
              <w:t>研究方向</w:t>
            </w:r>
          </w:p>
        </w:tc>
        <w:tc>
          <w:tcPr>
            <w:tcW w:w="1804"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华文仿宋" w:hAnsi="华文仿宋" w:eastAsia="华文仿宋" w:cs="宋体"/>
                <w:sz w:val="24"/>
                <w:szCs w:val="24"/>
              </w:rPr>
            </w:pPr>
            <w:r>
              <w:rPr>
                <w:rFonts w:hint="eastAsia" w:ascii="华文仿宋" w:hAnsi="华文仿宋" w:eastAsia="华文仿宋" w:cs="宋体"/>
                <w:sz w:val="24"/>
                <w:szCs w:val="24"/>
              </w:rPr>
              <w:t>公共必修</w:t>
            </w:r>
          </w:p>
          <w:p>
            <w:pPr>
              <w:widowControl/>
              <w:adjustRightInd w:val="0"/>
              <w:snapToGrid w:val="0"/>
              <w:jc w:val="center"/>
              <w:rPr>
                <w:rFonts w:ascii="华文仿宋" w:hAnsi="华文仿宋" w:eastAsia="华文仿宋" w:cs="宋体"/>
                <w:sz w:val="24"/>
                <w:szCs w:val="24"/>
              </w:rPr>
            </w:pPr>
            <w:r>
              <w:rPr>
                <w:rFonts w:hint="eastAsia" w:ascii="华文仿宋" w:hAnsi="华文仿宋" w:eastAsia="华文仿宋" w:cs="宋体"/>
                <w:sz w:val="24"/>
                <w:szCs w:val="24"/>
              </w:rPr>
              <w:t>（4门，8学分）</w:t>
            </w:r>
          </w:p>
        </w:tc>
        <w:tc>
          <w:tcPr>
            <w:tcW w:w="2446"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华文仿宋" w:hAnsi="华文仿宋" w:eastAsia="华文仿宋" w:cs="宋体"/>
                <w:sz w:val="24"/>
                <w:szCs w:val="24"/>
              </w:rPr>
            </w:pPr>
            <w:r>
              <w:rPr>
                <w:rFonts w:hint="eastAsia" w:ascii="华文仿宋" w:hAnsi="华文仿宋" w:eastAsia="华文仿宋" w:cs="宋体"/>
                <w:sz w:val="24"/>
                <w:szCs w:val="24"/>
              </w:rPr>
              <w:t>专业（基础）必修</w:t>
            </w:r>
          </w:p>
          <w:p>
            <w:pPr>
              <w:widowControl/>
              <w:adjustRightInd w:val="0"/>
              <w:snapToGrid w:val="0"/>
              <w:jc w:val="center"/>
              <w:rPr>
                <w:rFonts w:ascii="华文仿宋" w:hAnsi="华文仿宋" w:eastAsia="华文仿宋" w:cs="宋体"/>
                <w:sz w:val="24"/>
                <w:szCs w:val="24"/>
              </w:rPr>
            </w:pPr>
            <w:r>
              <w:rPr>
                <w:rFonts w:hint="eastAsia" w:ascii="华文仿宋" w:hAnsi="华文仿宋" w:eastAsia="华文仿宋" w:cs="宋体"/>
                <w:sz w:val="24"/>
                <w:szCs w:val="24"/>
              </w:rPr>
              <w:t>（4门，12学分）</w:t>
            </w:r>
          </w:p>
        </w:tc>
        <w:tc>
          <w:tcPr>
            <w:tcW w:w="2770"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华文仿宋" w:hAnsi="华文仿宋" w:eastAsia="华文仿宋" w:cs="宋体"/>
                <w:sz w:val="24"/>
                <w:szCs w:val="24"/>
              </w:rPr>
            </w:pPr>
            <w:r>
              <w:rPr>
                <w:rFonts w:hint="eastAsia" w:ascii="华文仿宋" w:hAnsi="华文仿宋" w:eastAsia="华文仿宋" w:cs="宋体"/>
                <w:sz w:val="24"/>
                <w:szCs w:val="24"/>
              </w:rPr>
              <w:t>专业选修（13门，任选8门，16+4学分）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trPr>
        <w:tc>
          <w:tcPr>
            <w:tcW w:w="1526" w:type="dxa"/>
            <w:tcBorders>
              <w:top w:val="single" w:color="auto" w:sz="4" w:space="0"/>
              <w:left w:val="single" w:color="auto" w:sz="4" w:space="0"/>
              <w:bottom w:val="single" w:color="auto" w:sz="4" w:space="0"/>
              <w:right w:val="single" w:color="auto" w:sz="4" w:space="0"/>
            </w:tcBorders>
          </w:tcPr>
          <w:p>
            <w:pPr>
              <w:pStyle w:val="14"/>
              <w:widowControl/>
              <w:numPr>
                <w:ilvl w:val="0"/>
                <w:numId w:val="1"/>
              </w:numPr>
              <w:adjustRightInd w:val="0"/>
              <w:snapToGrid w:val="0"/>
              <w:ind w:firstLineChars="0"/>
              <w:jc w:val="left"/>
              <w:rPr>
                <w:rFonts w:ascii="华文楷体" w:hAnsi="华文楷体" w:eastAsia="华文楷体" w:cs="宋体"/>
                <w:szCs w:val="21"/>
              </w:rPr>
            </w:pPr>
            <w:r>
              <w:rPr>
                <w:rFonts w:hint="eastAsia" w:ascii="华文楷体" w:hAnsi="华文楷体" w:eastAsia="华文楷体" w:cs="宋体"/>
                <w:szCs w:val="21"/>
              </w:rPr>
              <w:t>区域经济可持续发展</w:t>
            </w:r>
          </w:p>
          <w:p>
            <w:pPr>
              <w:pStyle w:val="14"/>
              <w:widowControl/>
              <w:numPr>
                <w:ilvl w:val="0"/>
                <w:numId w:val="1"/>
              </w:numPr>
              <w:adjustRightInd w:val="0"/>
              <w:snapToGrid w:val="0"/>
              <w:ind w:firstLineChars="0"/>
              <w:jc w:val="left"/>
              <w:rPr>
                <w:rFonts w:ascii="华文楷体" w:hAnsi="华文楷体" w:eastAsia="华文楷体" w:cs="宋体"/>
                <w:szCs w:val="21"/>
              </w:rPr>
            </w:pPr>
            <w:r>
              <w:rPr>
                <w:rFonts w:hint="eastAsia" w:ascii="华文楷体" w:hAnsi="华文楷体" w:eastAsia="华文楷体" w:cs="宋体"/>
                <w:szCs w:val="21"/>
              </w:rPr>
              <w:t>金融投资与风险管理</w:t>
            </w:r>
          </w:p>
        </w:tc>
        <w:tc>
          <w:tcPr>
            <w:tcW w:w="1804" w:type="dxa"/>
            <w:tcBorders>
              <w:top w:val="single" w:color="auto" w:sz="4" w:space="0"/>
              <w:left w:val="single" w:color="auto" w:sz="4" w:space="0"/>
              <w:bottom w:val="single" w:color="auto" w:sz="4" w:space="0"/>
              <w:right w:val="single" w:color="auto" w:sz="4" w:space="0"/>
            </w:tcBorders>
          </w:tcPr>
          <w:p>
            <w:pPr>
              <w:pStyle w:val="14"/>
              <w:numPr>
                <w:ilvl w:val="0"/>
                <w:numId w:val="2"/>
              </w:numPr>
              <w:ind w:left="317" w:firstLineChars="0"/>
              <w:jc w:val="left"/>
              <w:rPr>
                <w:rFonts w:ascii="华文楷体" w:hAnsi="华文楷体" w:eastAsia="华文楷体"/>
              </w:rPr>
            </w:pPr>
            <w:r>
              <w:rPr>
                <w:rFonts w:hint="eastAsia" w:ascii="华文楷体" w:hAnsi="华文楷体" w:eastAsia="华文楷体"/>
              </w:rPr>
              <w:t>马克思</w:t>
            </w:r>
            <w:r>
              <w:rPr>
                <w:rFonts w:ascii="华文楷体" w:hAnsi="华文楷体" w:eastAsia="华文楷体"/>
              </w:rPr>
              <w:t>主义与社会科学方法论</w:t>
            </w:r>
            <w:r>
              <w:rPr>
                <w:rFonts w:hint="eastAsia" w:ascii="华文楷体" w:hAnsi="华文楷体" w:eastAsia="华文楷体"/>
              </w:rPr>
              <w:t>（2）</w:t>
            </w:r>
          </w:p>
          <w:p>
            <w:pPr>
              <w:pStyle w:val="14"/>
              <w:numPr>
                <w:ilvl w:val="0"/>
                <w:numId w:val="2"/>
              </w:numPr>
              <w:ind w:left="317" w:firstLineChars="0"/>
              <w:rPr>
                <w:rFonts w:ascii="华文楷体" w:hAnsi="华文楷体" w:eastAsia="华文楷体"/>
              </w:rPr>
            </w:pPr>
            <w:r>
              <w:rPr>
                <w:rFonts w:hint="eastAsia" w:ascii="华文楷体" w:hAnsi="华文楷体" w:eastAsia="华文楷体"/>
              </w:rPr>
              <w:t>中国特色社会主义理论与实践研究（1）</w:t>
            </w:r>
          </w:p>
          <w:p>
            <w:pPr>
              <w:pStyle w:val="14"/>
              <w:numPr>
                <w:ilvl w:val="0"/>
                <w:numId w:val="1"/>
              </w:numPr>
              <w:tabs>
                <w:tab w:val="left" w:pos="238"/>
              </w:tabs>
              <w:ind w:left="0" w:firstLine="0" w:firstLineChars="0"/>
              <w:rPr>
                <w:rFonts w:ascii="华文楷体" w:hAnsi="华文楷体" w:eastAsia="华文楷体"/>
              </w:rPr>
            </w:pPr>
            <w:r>
              <w:rPr>
                <w:rFonts w:hint="eastAsia" w:ascii="华文楷体" w:hAnsi="华文楷体" w:eastAsia="华文楷体"/>
              </w:rPr>
              <w:t xml:space="preserve"> 英语读写（3）4.  英语听说（2）</w:t>
            </w:r>
          </w:p>
          <w:p>
            <w:pPr>
              <w:widowControl/>
              <w:adjustRightInd w:val="0"/>
              <w:snapToGrid w:val="0"/>
              <w:ind w:left="210" w:hanging="210" w:hangingChars="100"/>
              <w:rPr>
                <w:rFonts w:ascii="华文楷体" w:hAnsi="华文楷体" w:eastAsia="华文楷体" w:cs="宋体"/>
                <w:szCs w:val="21"/>
              </w:rPr>
            </w:pPr>
          </w:p>
        </w:tc>
        <w:tc>
          <w:tcPr>
            <w:tcW w:w="2446" w:type="dxa"/>
            <w:tcBorders>
              <w:top w:val="single" w:color="auto" w:sz="4" w:space="0"/>
              <w:left w:val="single" w:color="auto" w:sz="4" w:space="0"/>
              <w:bottom w:val="single" w:color="auto" w:sz="4" w:space="0"/>
              <w:right w:val="single" w:color="auto" w:sz="4" w:space="0"/>
            </w:tcBorders>
          </w:tcPr>
          <w:p>
            <w:pPr>
              <w:pStyle w:val="14"/>
              <w:numPr>
                <w:ilvl w:val="0"/>
                <w:numId w:val="1"/>
              </w:numPr>
              <w:ind w:firstLineChars="0"/>
              <w:rPr>
                <w:rFonts w:ascii="华文楷体" w:hAnsi="华文楷体" w:eastAsia="华文楷体"/>
              </w:rPr>
            </w:pPr>
            <w:r>
              <w:rPr>
                <w:rFonts w:hint="eastAsia" w:ascii="华文楷体" w:hAnsi="华文楷体" w:eastAsia="华文楷体"/>
              </w:rPr>
              <w:t>中级经济学（3）</w:t>
            </w:r>
          </w:p>
          <w:p>
            <w:pPr>
              <w:pStyle w:val="14"/>
              <w:numPr>
                <w:ilvl w:val="0"/>
                <w:numId w:val="1"/>
              </w:numPr>
              <w:ind w:firstLineChars="0"/>
              <w:rPr>
                <w:rFonts w:ascii="华文楷体" w:hAnsi="华文楷体" w:eastAsia="华文楷体"/>
              </w:rPr>
            </w:pPr>
            <w:r>
              <w:rPr>
                <w:rFonts w:hint="eastAsia" w:ascii="华文楷体" w:hAnsi="华文楷体" w:eastAsia="华文楷体"/>
              </w:rPr>
              <w:t>区域经济学（3）</w:t>
            </w:r>
          </w:p>
          <w:p>
            <w:pPr>
              <w:pStyle w:val="14"/>
              <w:numPr>
                <w:ilvl w:val="0"/>
                <w:numId w:val="1"/>
              </w:numPr>
              <w:ind w:firstLineChars="0"/>
              <w:rPr>
                <w:rFonts w:ascii="华文楷体" w:hAnsi="华文楷体" w:eastAsia="华文楷体"/>
              </w:rPr>
            </w:pPr>
            <w:r>
              <w:rPr>
                <w:rFonts w:hint="eastAsia" w:ascii="华文楷体" w:hAnsi="华文楷体" w:eastAsia="华文楷体"/>
              </w:rPr>
              <w:t>产业经济学（3）</w:t>
            </w:r>
          </w:p>
          <w:p>
            <w:pPr>
              <w:pStyle w:val="14"/>
              <w:numPr>
                <w:ilvl w:val="0"/>
                <w:numId w:val="1"/>
              </w:numPr>
              <w:ind w:firstLineChars="0"/>
              <w:rPr>
                <w:rFonts w:ascii="华文楷体" w:hAnsi="华文楷体" w:eastAsia="华文楷体"/>
              </w:rPr>
            </w:pPr>
            <w:r>
              <w:rPr>
                <w:rFonts w:hint="eastAsia" w:ascii="华文楷体" w:hAnsi="华文楷体" w:eastAsia="华文楷体"/>
                <w:szCs w:val="21"/>
                <w:shd w:val="clear" w:color="auto" w:fill="FFFFFF"/>
              </w:rPr>
              <w:t>公司金融</w:t>
            </w:r>
            <w:r>
              <w:rPr>
                <w:rFonts w:hint="eastAsia" w:ascii="华文楷体" w:hAnsi="华文楷体" w:eastAsia="华文楷体"/>
              </w:rPr>
              <w:t>（3）</w:t>
            </w:r>
          </w:p>
          <w:p>
            <w:pPr>
              <w:pStyle w:val="14"/>
              <w:widowControl/>
              <w:adjustRightInd w:val="0"/>
              <w:snapToGrid w:val="0"/>
              <w:ind w:left="360" w:firstLine="0" w:firstLineChars="0"/>
              <w:jc w:val="left"/>
              <w:rPr>
                <w:rFonts w:ascii="华文楷体" w:hAnsi="华文楷体" w:eastAsia="华文楷体"/>
                <w:szCs w:val="21"/>
              </w:rPr>
            </w:pPr>
          </w:p>
        </w:tc>
        <w:tc>
          <w:tcPr>
            <w:tcW w:w="2770" w:type="dxa"/>
            <w:tcBorders>
              <w:top w:val="single" w:color="auto" w:sz="4" w:space="0"/>
              <w:left w:val="single" w:color="auto" w:sz="4" w:space="0"/>
              <w:bottom w:val="single" w:color="auto" w:sz="4" w:space="0"/>
              <w:right w:val="single" w:color="auto" w:sz="4" w:space="0"/>
            </w:tcBorders>
          </w:tcPr>
          <w:p>
            <w:pPr>
              <w:pStyle w:val="14"/>
              <w:numPr>
                <w:ilvl w:val="0"/>
                <w:numId w:val="3"/>
              </w:numPr>
              <w:adjustRightInd w:val="0"/>
              <w:snapToGrid w:val="0"/>
              <w:ind w:firstLineChars="0"/>
              <w:jc w:val="left"/>
              <w:rPr>
                <w:rFonts w:ascii="华文楷体" w:hAnsi="华文楷体" w:eastAsia="华文楷体"/>
                <w:szCs w:val="21"/>
                <w:shd w:val="clear" w:color="auto" w:fill="FFFFFF"/>
              </w:rPr>
            </w:pPr>
            <w:r>
              <w:rPr>
                <w:rFonts w:hint="eastAsia" w:ascii="华文楷体" w:hAnsi="华文楷体" w:eastAsia="华文楷体" w:cs="宋体"/>
                <w:szCs w:val="21"/>
              </w:rPr>
              <w:t>发展经济学（2）</w:t>
            </w:r>
          </w:p>
          <w:p>
            <w:pPr>
              <w:pStyle w:val="14"/>
              <w:numPr>
                <w:ilvl w:val="0"/>
                <w:numId w:val="3"/>
              </w:numPr>
              <w:adjustRightInd w:val="0"/>
              <w:snapToGrid w:val="0"/>
              <w:ind w:firstLineChars="0"/>
              <w:jc w:val="left"/>
              <w:rPr>
                <w:rFonts w:ascii="华文楷体" w:hAnsi="华文楷体" w:eastAsia="华文楷体"/>
                <w:szCs w:val="21"/>
                <w:shd w:val="clear" w:color="auto" w:fill="FFFFFF"/>
              </w:rPr>
            </w:pPr>
            <w:r>
              <w:rPr>
                <w:rFonts w:hint="eastAsia" w:ascii="华文楷体" w:hAnsi="华文楷体" w:eastAsia="华文楷体"/>
                <w:szCs w:val="21"/>
                <w:shd w:val="clear" w:color="auto" w:fill="FFFFFF"/>
              </w:rPr>
              <w:t>制度经济学（2）</w:t>
            </w:r>
          </w:p>
          <w:p>
            <w:pPr>
              <w:pStyle w:val="14"/>
              <w:numPr>
                <w:ilvl w:val="0"/>
                <w:numId w:val="3"/>
              </w:numPr>
              <w:adjustRightInd w:val="0"/>
              <w:snapToGrid w:val="0"/>
              <w:ind w:firstLineChars="0"/>
              <w:jc w:val="left"/>
              <w:rPr>
                <w:rFonts w:ascii="华文楷体" w:hAnsi="华文楷体" w:eastAsia="华文楷体"/>
                <w:szCs w:val="21"/>
                <w:shd w:val="clear" w:color="auto" w:fill="FFFFFF"/>
              </w:rPr>
            </w:pPr>
            <w:r>
              <w:rPr>
                <w:rFonts w:hint="eastAsia" w:ascii="华文楷体" w:hAnsi="华文楷体" w:eastAsia="华文楷体"/>
                <w:szCs w:val="21"/>
              </w:rPr>
              <w:t>当代经济学流派</w:t>
            </w:r>
            <w:r>
              <w:rPr>
                <w:rFonts w:hint="eastAsia" w:ascii="华文楷体" w:hAnsi="华文楷体" w:eastAsia="华文楷体"/>
                <w:szCs w:val="21"/>
                <w:shd w:val="clear" w:color="auto" w:fill="FFFFFF"/>
              </w:rPr>
              <w:t>(2)</w:t>
            </w:r>
          </w:p>
          <w:p>
            <w:pPr>
              <w:pStyle w:val="14"/>
              <w:numPr>
                <w:ilvl w:val="0"/>
                <w:numId w:val="3"/>
              </w:numPr>
              <w:adjustRightInd w:val="0"/>
              <w:snapToGrid w:val="0"/>
              <w:ind w:firstLineChars="0"/>
              <w:jc w:val="left"/>
              <w:rPr>
                <w:rFonts w:ascii="华文楷体" w:hAnsi="华文楷体" w:eastAsia="华文楷体"/>
                <w:szCs w:val="21"/>
                <w:shd w:val="clear" w:color="auto" w:fill="FFFFFF"/>
              </w:rPr>
            </w:pPr>
            <w:r>
              <w:rPr>
                <w:rFonts w:hint="eastAsia" w:ascii="华文楷体" w:hAnsi="华文楷体" w:eastAsia="华文楷体"/>
                <w:szCs w:val="21"/>
                <w:shd w:val="clear" w:color="auto" w:fill="FFFFFF"/>
              </w:rPr>
              <w:t>国际贸易理论与实务(2)</w:t>
            </w:r>
          </w:p>
          <w:p>
            <w:pPr>
              <w:pStyle w:val="14"/>
              <w:numPr>
                <w:ilvl w:val="0"/>
                <w:numId w:val="3"/>
              </w:numPr>
              <w:adjustRightInd w:val="0"/>
              <w:snapToGrid w:val="0"/>
              <w:ind w:firstLineChars="0"/>
              <w:jc w:val="left"/>
              <w:rPr>
                <w:rFonts w:ascii="华文楷体" w:hAnsi="华文楷体" w:eastAsia="华文楷体"/>
                <w:szCs w:val="21"/>
                <w:shd w:val="clear" w:color="auto" w:fill="FFFFFF"/>
              </w:rPr>
            </w:pPr>
            <w:r>
              <w:rPr>
                <w:rFonts w:hint="eastAsia" w:ascii="华文楷体" w:hAnsi="华文楷体" w:eastAsia="华文楷体"/>
                <w:szCs w:val="21"/>
                <w:shd w:val="clear" w:color="auto" w:fill="FFFFFF"/>
              </w:rPr>
              <w:t>财政理论与政策(2)</w:t>
            </w:r>
          </w:p>
          <w:p>
            <w:pPr>
              <w:pStyle w:val="14"/>
              <w:numPr>
                <w:ilvl w:val="0"/>
                <w:numId w:val="3"/>
              </w:numPr>
              <w:adjustRightInd w:val="0"/>
              <w:snapToGrid w:val="0"/>
              <w:ind w:firstLineChars="0"/>
              <w:jc w:val="left"/>
              <w:rPr>
                <w:rFonts w:ascii="华文楷体" w:hAnsi="华文楷体" w:eastAsia="华文楷体"/>
                <w:szCs w:val="21"/>
                <w:shd w:val="clear" w:color="auto" w:fill="FFFFFF"/>
              </w:rPr>
            </w:pPr>
            <w:r>
              <w:rPr>
                <w:rFonts w:hint="eastAsia" w:ascii="华文楷体" w:hAnsi="华文楷体" w:eastAsia="华文楷体"/>
              </w:rPr>
              <w:t>金融理论与政策</w:t>
            </w:r>
            <w:r>
              <w:rPr>
                <w:rFonts w:hint="eastAsia" w:ascii="华文楷体" w:hAnsi="华文楷体" w:eastAsia="华文楷体"/>
                <w:szCs w:val="21"/>
                <w:shd w:val="clear" w:color="auto" w:fill="FFFFFF"/>
              </w:rPr>
              <w:t>(2)</w:t>
            </w:r>
          </w:p>
          <w:p>
            <w:pPr>
              <w:pStyle w:val="14"/>
              <w:numPr>
                <w:ilvl w:val="0"/>
                <w:numId w:val="3"/>
              </w:numPr>
              <w:adjustRightInd w:val="0"/>
              <w:snapToGrid w:val="0"/>
              <w:ind w:firstLineChars="0"/>
              <w:jc w:val="left"/>
              <w:rPr>
                <w:rFonts w:ascii="华文楷体" w:hAnsi="华文楷体" w:eastAsia="华文楷体"/>
                <w:szCs w:val="21"/>
                <w:shd w:val="clear" w:color="auto" w:fill="FFFFFF"/>
              </w:rPr>
            </w:pPr>
            <w:r>
              <w:rPr>
                <w:rFonts w:hint="eastAsia" w:ascii="华文楷体" w:hAnsi="华文楷体" w:eastAsia="华文楷体"/>
                <w:szCs w:val="21"/>
                <w:shd w:val="clear" w:color="auto" w:fill="FFFFFF"/>
              </w:rPr>
              <w:t>证券投资学(2)</w:t>
            </w:r>
          </w:p>
          <w:p>
            <w:pPr>
              <w:pStyle w:val="14"/>
              <w:numPr>
                <w:ilvl w:val="0"/>
                <w:numId w:val="3"/>
              </w:numPr>
              <w:adjustRightInd w:val="0"/>
              <w:snapToGrid w:val="0"/>
              <w:ind w:firstLineChars="0"/>
              <w:jc w:val="left"/>
              <w:rPr>
                <w:rFonts w:ascii="华文楷体" w:hAnsi="华文楷体" w:eastAsia="华文楷体"/>
                <w:szCs w:val="21"/>
                <w:shd w:val="clear" w:color="auto" w:fill="FFFFFF"/>
              </w:rPr>
            </w:pPr>
            <w:r>
              <w:rPr>
                <w:rFonts w:hint="eastAsia" w:ascii="华文楷体" w:hAnsi="华文楷体" w:eastAsia="华文楷体"/>
                <w:szCs w:val="21"/>
              </w:rPr>
              <w:t>金融风险管理</w:t>
            </w:r>
            <w:r>
              <w:rPr>
                <w:rFonts w:hint="eastAsia" w:ascii="华文楷体" w:hAnsi="华文楷体" w:eastAsia="华文楷体" w:cs="宋体"/>
                <w:szCs w:val="21"/>
              </w:rPr>
              <w:t>（2）</w:t>
            </w:r>
          </w:p>
          <w:p>
            <w:pPr>
              <w:pStyle w:val="14"/>
              <w:numPr>
                <w:ilvl w:val="0"/>
                <w:numId w:val="3"/>
              </w:numPr>
              <w:adjustRightInd w:val="0"/>
              <w:snapToGrid w:val="0"/>
              <w:ind w:firstLineChars="0"/>
              <w:jc w:val="left"/>
              <w:rPr>
                <w:rFonts w:ascii="华文楷体" w:hAnsi="华文楷体" w:eastAsia="华文楷体"/>
                <w:szCs w:val="21"/>
                <w:shd w:val="clear" w:color="auto" w:fill="FFFFFF"/>
              </w:rPr>
            </w:pPr>
            <w:r>
              <w:rPr>
                <w:rFonts w:hint="eastAsia" w:ascii="华文楷体" w:hAnsi="华文楷体" w:eastAsia="华文楷体" w:cs="宋体"/>
                <w:szCs w:val="21"/>
              </w:rPr>
              <w:t>计量经济学（2）</w:t>
            </w:r>
          </w:p>
          <w:p>
            <w:pPr>
              <w:pStyle w:val="14"/>
              <w:numPr>
                <w:ilvl w:val="0"/>
                <w:numId w:val="3"/>
              </w:numPr>
              <w:adjustRightInd w:val="0"/>
              <w:snapToGrid w:val="0"/>
              <w:ind w:firstLineChars="0"/>
              <w:jc w:val="left"/>
              <w:rPr>
                <w:rFonts w:ascii="华文楷体" w:hAnsi="华文楷体" w:eastAsia="华文楷体"/>
                <w:szCs w:val="21"/>
                <w:shd w:val="clear" w:color="auto" w:fill="FFFFFF"/>
              </w:rPr>
            </w:pPr>
            <w:r>
              <w:rPr>
                <w:rFonts w:hint="eastAsia" w:ascii="华文楷体" w:hAnsi="华文楷体" w:eastAsia="华文楷体"/>
                <w:szCs w:val="21"/>
                <w:shd w:val="clear" w:color="auto" w:fill="FFFFFF"/>
              </w:rPr>
              <w:t>数据分析与统计(2)</w:t>
            </w:r>
          </w:p>
          <w:p>
            <w:pPr>
              <w:pStyle w:val="14"/>
              <w:numPr>
                <w:ilvl w:val="0"/>
                <w:numId w:val="3"/>
              </w:numPr>
              <w:adjustRightInd w:val="0"/>
              <w:snapToGrid w:val="0"/>
              <w:ind w:firstLineChars="0"/>
              <w:jc w:val="left"/>
              <w:rPr>
                <w:rFonts w:ascii="华文楷体" w:hAnsi="华文楷体" w:eastAsia="华文楷体"/>
                <w:szCs w:val="21"/>
                <w:shd w:val="clear" w:color="auto" w:fill="FFFFFF"/>
              </w:rPr>
            </w:pPr>
            <w:r>
              <w:rPr>
                <w:rFonts w:hint="eastAsia" w:ascii="华文楷体" w:hAnsi="华文楷体" w:eastAsia="华文楷体"/>
                <w:szCs w:val="21"/>
              </w:rPr>
              <w:t>经济学研究热点专题</w:t>
            </w:r>
            <w:r>
              <w:rPr>
                <w:rFonts w:hint="eastAsia" w:ascii="华文楷体" w:hAnsi="华文楷体" w:eastAsia="华文楷体"/>
                <w:szCs w:val="21"/>
                <w:shd w:val="clear" w:color="auto" w:fill="FFFFFF"/>
              </w:rPr>
              <w:t>(2)</w:t>
            </w:r>
          </w:p>
          <w:p>
            <w:pPr>
              <w:pStyle w:val="14"/>
              <w:numPr>
                <w:ilvl w:val="0"/>
                <w:numId w:val="3"/>
              </w:numPr>
              <w:adjustRightInd w:val="0"/>
              <w:snapToGrid w:val="0"/>
              <w:ind w:firstLineChars="0"/>
              <w:jc w:val="left"/>
              <w:rPr>
                <w:rFonts w:ascii="华文楷体" w:hAnsi="华文楷体" w:eastAsia="华文楷体"/>
                <w:szCs w:val="21"/>
                <w:shd w:val="clear" w:color="auto" w:fill="FFFFFF"/>
              </w:rPr>
            </w:pPr>
            <w:r>
              <w:rPr>
                <w:rFonts w:hint="eastAsia" w:ascii="华文楷体" w:hAnsi="华文楷体" w:eastAsia="华文楷体"/>
                <w:szCs w:val="21"/>
                <w:shd w:val="clear" w:color="auto" w:fill="FFFFFF"/>
              </w:rPr>
              <w:t>金融前沿研究专题（2)</w:t>
            </w:r>
          </w:p>
          <w:p>
            <w:pPr>
              <w:pStyle w:val="14"/>
              <w:numPr>
                <w:ilvl w:val="0"/>
                <w:numId w:val="3"/>
              </w:numPr>
              <w:adjustRightInd w:val="0"/>
              <w:snapToGrid w:val="0"/>
              <w:ind w:firstLineChars="0"/>
              <w:jc w:val="left"/>
              <w:rPr>
                <w:rFonts w:ascii="华文楷体" w:hAnsi="华文楷体" w:eastAsia="华文楷体"/>
                <w:szCs w:val="21"/>
                <w:shd w:val="clear" w:color="auto" w:fill="FFFFFF"/>
              </w:rPr>
            </w:pPr>
            <w:r>
              <w:rPr>
                <w:rFonts w:hint="eastAsia" w:ascii="华文楷体" w:hAnsi="华文楷体" w:eastAsia="华文楷体"/>
                <w:szCs w:val="21"/>
                <w:shd w:val="clear" w:color="auto" w:fill="FFFFFF"/>
              </w:rPr>
              <w:t>研究方法与论文写作(2)</w:t>
            </w:r>
          </w:p>
          <w:p>
            <w:pPr>
              <w:pStyle w:val="14"/>
              <w:numPr>
                <w:ilvl w:val="0"/>
                <w:numId w:val="3"/>
              </w:numPr>
              <w:adjustRightInd w:val="0"/>
              <w:snapToGrid w:val="0"/>
              <w:ind w:firstLineChars="0"/>
              <w:jc w:val="left"/>
              <w:rPr>
                <w:rFonts w:ascii="华文楷体" w:hAnsi="华文楷体" w:eastAsia="华文楷体"/>
                <w:szCs w:val="21"/>
                <w:shd w:val="clear" w:color="auto" w:fill="FFFFFF"/>
              </w:rPr>
            </w:pPr>
            <w:r>
              <w:rPr>
                <w:rFonts w:hint="eastAsia" w:ascii="华文楷体" w:hAnsi="华文楷体" w:eastAsia="华文楷体" w:cs="宋体"/>
                <w:szCs w:val="21"/>
              </w:rPr>
              <w:t>科研活动（2）</w:t>
            </w:r>
          </w:p>
          <w:p>
            <w:pPr>
              <w:pStyle w:val="14"/>
              <w:numPr>
                <w:ilvl w:val="0"/>
                <w:numId w:val="3"/>
              </w:numPr>
              <w:adjustRightInd w:val="0"/>
              <w:snapToGrid w:val="0"/>
              <w:ind w:firstLineChars="0"/>
              <w:jc w:val="left"/>
              <w:rPr>
                <w:rFonts w:ascii="华文楷体" w:hAnsi="华文楷体" w:eastAsia="华文楷体"/>
                <w:szCs w:val="21"/>
                <w:shd w:val="clear" w:color="auto" w:fill="FFFFFF"/>
              </w:rPr>
            </w:pPr>
            <w:r>
              <w:rPr>
                <w:rFonts w:hint="eastAsia" w:ascii="华文楷体" w:hAnsi="华文楷体" w:eastAsia="华文楷体" w:cs="宋体"/>
                <w:szCs w:val="21"/>
              </w:rPr>
              <w:t>实践活动（2）</w:t>
            </w:r>
          </w:p>
        </w:tc>
      </w:tr>
    </w:tbl>
    <w:p>
      <w:pPr>
        <w:widowControl/>
        <w:adjustRightInd w:val="0"/>
        <w:snapToGrid w:val="0"/>
        <w:ind w:firstLine="482"/>
        <w:jc w:val="left"/>
        <w:rPr>
          <w:rFonts w:asciiTheme="minorEastAsia" w:hAnsiTheme="minorEastAsia"/>
          <w:color w:val="000000"/>
          <w:sz w:val="18"/>
          <w:szCs w:val="18"/>
        </w:rPr>
      </w:pPr>
      <w:r>
        <w:rPr>
          <w:rFonts w:hint="eastAsia" w:asciiTheme="minorEastAsia" w:hAnsiTheme="minorEastAsia"/>
          <w:color w:val="333333"/>
          <w:sz w:val="18"/>
          <w:szCs w:val="18"/>
          <w:shd w:val="clear" w:color="auto" w:fill="FFFFFF"/>
        </w:rPr>
        <w:t>注：表中专业选修课含必修环节</w:t>
      </w:r>
      <w:r>
        <w:rPr>
          <w:rFonts w:hint="eastAsia" w:asciiTheme="minorEastAsia" w:hAnsiTheme="minorEastAsia"/>
          <w:color w:val="000000"/>
          <w:sz w:val="18"/>
          <w:szCs w:val="18"/>
        </w:rPr>
        <w:t>（</w:t>
      </w:r>
      <w:r>
        <w:rPr>
          <w:rStyle w:val="9"/>
          <w:rFonts w:hint="eastAsia" w:asciiTheme="minorEastAsia" w:hAnsiTheme="minorEastAsia"/>
          <w:color w:val="000000"/>
        </w:rPr>
        <w:t>必修环节</w:t>
      </w:r>
      <w:r>
        <w:rPr>
          <w:rFonts w:hint="eastAsia" w:asciiTheme="minorEastAsia" w:hAnsiTheme="minorEastAsia"/>
          <w:color w:val="000000"/>
          <w:sz w:val="18"/>
          <w:szCs w:val="18"/>
        </w:rPr>
        <w:t>包括科研活动、实践活动共4学分）。</w:t>
      </w:r>
    </w:p>
    <w:p>
      <w:pPr>
        <w:widowControl/>
        <w:adjustRightInd w:val="0"/>
        <w:snapToGrid w:val="0"/>
        <w:ind w:firstLine="482"/>
        <w:jc w:val="left"/>
        <w:rPr>
          <w:rFonts w:asciiTheme="minorEastAsia" w:hAnsiTheme="minorEastAsia"/>
          <w:color w:val="333333"/>
          <w:sz w:val="18"/>
          <w:szCs w:val="18"/>
          <w:shd w:val="clear" w:color="auto" w:fill="FFFFFF"/>
        </w:rPr>
      </w:pPr>
      <w:r>
        <w:rPr>
          <w:rFonts w:hint="eastAsia" w:asciiTheme="minorEastAsia" w:hAnsiTheme="minorEastAsia"/>
          <w:color w:val="333333"/>
          <w:sz w:val="18"/>
          <w:szCs w:val="18"/>
          <w:shd w:val="clear" w:color="auto" w:fill="FFFFFF"/>
        </w:rPr>
        <w:t xml:space="preserve">   </w:t>
      </w:r>
    </w:p>
    <w:p>
      <w:pPr>
        <w:widowControl/>
        <w:adjustRightInd w:val="0"/>
        <w:snapToGrid w:val="0"/>
        <w:spacing w:line="360" w:lineRule="auto"/>
        <w:ind w:firstLine="482"/>
        <w:jc w:val="left"/>
        <w:rPr>
          <w:rFonts w:ascii="微软雅黑" w:hAnsi="微软雅黑" w:eastAsia="微软雅黑"/>
          <w:b/>
          <w:color w:val="333333"/>
          <w:sz w:val="24"/>
          <w:szCs w:val="24"/>
          <w:shd w:val="clear" w:color="auto" w:fill="FFFFFF"/>
        </w:rPr>
      </w:pPr>
      <w:r>
        <w:rPr>
          <w:rFonts w:hint="eastAsia" w:ascii="微软雅黑" w:hAnsi="微软雅黑" w:eastAsia="微软雅黑"/>
          <w:b/>
          <w:color w:val="333333"/>
          <w:sz w:val="24"/>
          <w:szCs w:val="24"/>
          <w:shd w:val="clear" w:color="auto" w:fill="FFFFFF"/>
        </w:rPr>
        <w:t>三、考核</w:t>
      </w:r>
    </w:p>
    <w:p>
      <w:pPr>
        <w:widowControl/>
        <w:adjustRightInd w:val="0"/>
        <w:snapToGrid w:val="0"/>
        <w:spacing w:line="400" w:lineRule="exact"/>
        <w:ind w:firstLine="482"/>
        <w:rPr>
          <w:rFonts w:ascii="宋体" w:hAnsi="宋体" w:eastAsia="宋体"/>
          <w:color w:val="333333"/>
          <w:sz w:val="24"/>
          <w:szCs w:val="24"/>
          <w:shd w:val="clear" w:color="auto" w:fill="FFFFFF"/>
        </w:rPr>
      </w:pPr>
      <w:r>
        <w:rPr>
          <w:rFonts w:hint="eastAsia" w:ascii="宋体" w:hAnsi="宋体" w:eastAsia="宋体"/>
          <w:color w:val="333333"/>
          <w:sz w:val="24"/>
          <w:szCs w:val="24"/>
          <w:shd w:val="clear" w:color="auto" w:fill="FFFFFF"/>
        </w:rPr>
        <w:t>考核包括课程考试考核（考试或论文的方式）、同等学力发展中心申请学位资格考核、教育部同等学力人员申请硕士学位外语水平和学科综合水平全国统一考试（执行国务院学位办当期文件）等。</w:t>
      </w:r>
    </w:p>
    <w:p>
      <w:pPr>
        <w:widowControl/>
        <w:adjustRightInd w:val="0"/>
        <w:snapToGrid w:val="0"/>
        <w:spacing w:line="300" w:lineRule="auto"/>
        <w:ind w:firstLine="482"/>
        <w:jc w:val="left"/>
        <w:rPr>
          <w:rFonts w:ascii="宋体" w:hAnsi="宋体" w:eastAsia="宋体"/>
          <w:color w:val="333333"/>
          <w:sz w:val="24"/>
          <w:szCs w:val="24"/>
          <w:shd w:val="clear" w:color="auto" w:fill="FFFFFF"/>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504020202020204"/>
    <w:charset w:val="00"/>
    <w:family w:val="swiss"/>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91151E"/>
    <w:multiLevelType w:val="multilevel"/>
    <w:tmpl w:val="1C91151E"/>
    <w:lvl w:ilvl="0" w:tentative="0">
      <w:start w:val="1"/>
      <w:numFmt w:val="decimal"/>
      <w:lvlText w:val="%1."/>
      <w:lvlJc w:val="left"/>
      <w:pPr>
        <w:ind w:left="360" w:hanging="360"/>
      </w:pPr>
      <w:rPr>
        <w:rFonts w:hint="default" w:cs="宋体"/>
        <w:color w:val="666666"/>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CB24CE"/>
    <w:multiLevelType w:val="multilevel"/>
    <w:tmpl w:val="5CCB24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F73432"/>
    <w:multiLevelType w:val="multilevel"/>
    <w:tmpl w:val="60F7343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454B20"/>
    <w:rsid w:val="00043F36"/>
    <w:rsid w:val="000851ED"/>
    <w:rsid w:val="000C49AC"/>
    <w:rsid w:val="001125AD"/>
    <w:rsid w:val="001772B7"/>
    <w:rsid w:val="00182421"/>
    <w:rsid w:val="001834CE"/>
    <w:rsid w:val="001931A4"/>
    <w:rsid w:val="001C2129"/>
    <w:rsid w:val="001F4BF0"/>
    <w:rsid w:val="002160E5"/>
    <w:rsid w:val="0023745F"/>
    <w:rsid w:val="002A71E2"/>
    <w:rsid w:val="003020A1"/>
    <w:rsid w:val="00376982"/>
    <w:rsid w:val="003B310E"/>
    <w:rsid w:val="003E1B5A"/>
    <w:rsid w:val="004152BE"/>
    <w:rsid w:val="00454B20"/>
    <w:rsid w:val="0046637C"/>
    <w:rsid w:val="004943E7"/>
    <w:rsid w:val="004F5ADE"/>
    <w:rsid w:val="00542969"/>
    <w:rsid w:val="005F071A"/>
    <w:rsid w:val="005F1BE3"/>
    <w:rsid w:val="005F57D3"/>
    <w:rsid w:val="00601E9C"/>
    <w:rsid w:val="00605719"/>
    <w:rsid w:val="00605C1B"/>
    <w:rsid w:val="0066133D"/>
    <w:rsid w:val="00667256"/>
    <w:rsid w:val="00677431"/>
    <w:rsid w:val="006D746D"/>
    <w:rsid w:val="006D7E33"/>
    <w:rsid w:val="0073434C"/>
    <w:rsid w:val="00741746"/>
    <w:rsid w:val="00744630"/>
    <w:rsid w:val="00756546"/>
    <w:rsid w:val="00770726"/>
    <w:rsid w:val="00772C2A"/>
    <w:rsid w:val="00775144"/>
    <w:rsid w:val="00780DE5"/>
    <w:rsid w:val="007824E3"/>
    <w:rsid w:val="008157C2"/>
    <w:rsid w:val="00852E9B"/>
    <w:rsid w:val="008725A3"/>
    <w:rsid w:val="008803C0"/>
    <w:rsid w:val="008A2688"/>
    <w:rsid w:val="008D5D4B"/>
    <w:rsid w:val="008F7AE3"/>
    <w:rsid w:val="009107BD"/>
    <w:rsid w:val="0092483B"/>
    <w:rsid w:val="00A110CF"/>
    <w:rsid w:val="00A24523"/>
    <w:rsid w:val="00A34599"/>
    <w:rsid w:val="00AB764E"/>
    <w:rsid w:val="00AE0054"/>
    <w:rsid w:val="00B23A41"/>
    <w:rsid w:val="00B74403"/>
    <w:rsid w:val="00BD14EA"/>
    <w:rsid w:val="00C64045"/>
    <w:rsid w:val="00C665CF"/>
    <w:rsid w:val="00C869F9"/>
    <w:rsid w:val="00CC7EA9"/>
    <w:rsid w:val="00CD5863"/>
    <w:rsid w:val="00D04BB2"/>
    <w:rsid w:val="00D1690F"/>
    <w:rsid w:val="00D16DCC"/>
    <w:rsid w:val="00D70D77"/>
    <w:rsid w:val="00DD3DD0"/>
    <w:rsid w:val="00DD3EE0"/>
    <w:rsid w:val="00DD6E3F"/>
    <w:rsid w:val="00E84CA9"/>
    <w:rsid w:val="00EC4B7C"/>
    <w:rsid w:val="00F05FDD"/>
    <w:rsid w:val="00F27139"/>
    <w:rsid w:val="00F9717A"/>
    <w:rsid w:val="00FB6A76"/>
    <w:rsid w:val="00FF23F5"/>
    <w:rsid w:val="041E5230"/>
    <w:rsid w:val="055A3778"/>
    <w:rsid w:val="0F5B0A96"/>
    <w:rsid w:val="11567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7"/>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table" w:customStyle="1" w:styleId="10">
    <w:name w:val="网格型1"/>
    <w:basedOn w:val="6"/>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网格型2"/>
    <w:basedOn w:val="6"/>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11"/>
    <w:basedOn w:val="8"/>
    <w:qFormat/>
    <w:uiPriority w:val="0"/>
    <w:rPr>
      <w:rFonts w:hint="default" w:ascii="Times New Roman" w:hAnsi="Times New Roman" w:cs="Times New Roman"/>
      <w:color w:val="000000"/>
      <w:sz w:val="24"/>
      <w:szCs w:val="24"/>
      <w:u w:val="none"/>
    </w:rPr>
  </w:style>
  <w:style w:type="character" w:customStyle="1" w:styleId="13">
    <w:name w:val="font31"/>
    <w:basedOn w:val="8"/>
    <w:qFormat/>
    <w:uiPriority w:val="0"/>
    <w:rPr>
      <w:rFonts w:hint="eastAsia" w:ascii="仿宋" w:hAnsi="仿宋" w:eastAsia="仿宋" w:cs="仿宋"/>
      <w:color w:val="000000"/>
      <w:sz w:val="24"/>
      <w:szCs w:val="24"/>
      <w:u w:val="none"/>
    </w:rPr>
  </w:style>
  <w:style w:type="paragraph" w:styleId="14">
    <w:name w:val="List Paragraph"/>
    <w:basedOn w:val="1"/>
    <w:qFormat/>
    <w:uiPriority w:val="34"/>
    <w:pPr>
      <w:ind w:firstLine="420" w:firstLineChars="200"/>
    </w:pPr>
  </w:style>
  <w:style w:type="character" w:customStyle="1" w:styleId="15">
    <w:name w:val="页眉 字符"/>
    <w:basedOn w:val="8"/>
    <w:link w:val="4"/>
    <w:qFormat/>
    <w:uiPriority w:val="99"/>
    <w:rPr>
      <w:rFonts w:asciiTheme="minorHAnsi" w:hAnsiTheme="minorHAnsi" w:eastAsiaTheme="minorEastAsia" w:cstheme="minorBidi"/>
      <w:kern w:val="2"/>
      <w:sz w:val="18"/>
      <w:szCs w:val="18"/>
    </w:rPr>
  </w:style>
  <w:style w:type="character" w:customStyle="1" w:styleId="16">
    <w:name w:val="页脚 字符"/>
    <w:basedOn w:val="8"/>
    <w:link w:val="3"/>
    <w:qFormat/>
    <w:uiPriority w:val="99"/>
    <w:rPr>
      <w:rFonts w:asciiTheme="minorHAnsi" w:hAnsiTheme="minorHAnsi" w:eastAsiaTheme="minorEastAsia" w:cstheme="minorBidi"/>
      <w:kern w:val="2"/>
      <w:sz w:val="18"/>
      <w:szCs w:val="18"/>
    </w:rPr>
  </w:style>
  <w:style w:type="character" w:customStyle="1" w:styleId="17">
    <w:name w:val="标题 4 字符"/>
    <w:basedOn w:val="8"/>
    <w:link w:val="2"/>
    <w:qFormat/>
    <w:uiPriority w:val="9"/>
    <w:rPr>
      <w:rFonts w:ascii="宋体" w:hAnsi="宋体" w:cs="宋体"/>
      <w:b/>
      <w:bCs/>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6D478-A819-43B9-B8C0-9E0FAD1DC78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142</Words>
  <Characters>810</Characters>
  <Lines>6</Lines>
  <Paragraphs>1</Paragraphs>
  <TotalTime>523</TotalTime>
  <ScaleCrop>false</ScaleCrop>
  <LinksUpToDate>false</LinksUpToDate>
  <CharactersWithSpaces>951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2022-10-16T04:35:00Z</dcterms:created>
  <dc:creator>Administrator</dc:creator>
  <cp:lastModifiedBy>冰冰⊙▽⊙＊</cp:lastModifiedBy>
  <dcterms:modified xsi:type="dcterms:W3CDTF">2023-02-14T07:53:24Z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AD6398BCB4284EAB845C74DA4ABA612D</vt:lpwstr>
  </property>
</Properties>
</file>