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微软雅黑" w:hAnsi="微软雅黑" w:eastAsia="微软雅黑" w:cs="微软雅黑"/>
          <w:b/>
          <w:bCs/>
          <w:sz w:val="44"/>
          <w:szCs w:val="44"/>
        </w:rPr>
      </w:pPr>
      <w:r>
        <w:rPr>
          <w:rFonts w:hint="eastAsia" w:ascii="微软雅黑" w:hAnsi="微软雅黑" w:eastAsia="微软雅黑" w:cs="微软雅黑"/>
          <w:b/>
          <w:bCs/>
          <w:sz w:val="44"/>
          <w:szCs w:val="44"/>
        </w:rPr>
        <w:drawing>
          <wp:inline distT="0" distB="0" distL="114300" distR="114300">
            <wp:extent cx="5253355" cy="1473835"/>
            <wp:effectExtent l="0" t="0" r="4445" b="12065"/>
            <wp:docPr id="1" name="图片 2" descr="山西医科大学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山西医科大学校徽"/>
                    <pic:cNvPicPr>
                      <a:picLocks noChangeAspect="1"/>
                    </pic:cNvPicPr>
                  </pic:nvPicPr>
                  <pic:blipFill>
                    <a:blip r:embed="rId5"/>
                    <a:srcRect t="19446" b="19812"/>
                    <a:stretch>
                      <a:fillRect/>
                    </a:stretch>
                  </pic:blipFill>
                  <pic:spPr>
                    <a:xfrm>
                      <a:off x="0" y="0"/>
                      <a:ext cx="5253355" cy="1473835"/>
                    </a:xfrm>
                    <a:prstGeom prst="rect">
                      <a:avLst/>
                    </a:prstGeom>
                    <a:noFill/>
                    <a:ln>
                      <a:noFill/>
                    </a:ln>
                  </pic:spPr>
                </pic:pic>
              </a:graphicData>
            </a:graphic>
          </wp:inline>
        </w:drawing>
      </w:r>
    </w:p>
    <w:p>
      <w:pPr>
        <w:adjustRightInd w:val="0"/>
        <w:snapToGrid w:val="0"/>
        <w:jc w:val="center"/>
        <w:rPr>
          <w:rFonts w:hint="eastAsia" w:ascii="微软雅黑" w:hAnsi="微软雅黑" w:eastAsia="微软雅黑" w:cs="微软雅黑"/>
          <w:b/>
          <w:bCs/>
          <w:sz w:val="44"/>
          <w:szCs w:val="44"/>
        </w:rPr>
      </w:pPr>
    </w:p>
    <w:p>
      <w:pPr>
        <w:adjustRightInd w:val="0"/>
        <w:snapToGrid w:val="0"/>
        <w:jc w:val="center"/>
        <w:rPr>
          <w:rFonts w:hint="eastAsia" w:ascii="微软雅黑" w:hAnsi="微软雅黑" w:eastAsia="微软雅黑" w:cs="微软雅黑"/>
          <w:b/>
          <w:bCs/>
          <w:sz w:val="44"/>
          <w:szCs w:val="44"/>
        </w:rPr>
      </w:pPr>
      <w:r>
        <w:rPr>
          <w:rFonts w:hint="eastAsia" w:ascii="微软雅黑" w:hAnsi="微软雅黑" w:eastAsia="微软雅黑" w:cs="微软雅黑"/>
          <w:b/>
          <w:bCs/>
          <w:sz w:val="44"/>
          <w:szCs w:val="44"/>
        </w:rPr>
        <w:t>山西医科大学临床医学专业学位同等学力申硕招生简章</w:t>
      </w:r>
    </w:p>
    <w:p>
      <w:pPr>
        <w:numPr>
          <w:ilvl w:val="0"/>
          <w:numId w:val="1"/>
        </w:numPr>
        <w:snapToGrid w:val="0"/>
        <w:spacing w:line="360" w:lineRule="auto"/>
        <w:contextualSpacing/>
        <w:rPr>
          <w:rFonts w:hint="eastAsia" w:ascii="微软雅黑" w:hAnsi="微软雅黑" w:eastAsia="微软雅黑" w:cs="微软雅黑"/>
          <w:b/>
          <w:bCs/>
          <w:sz w:val="24"/>
        </w:rPr>
      </w:pPr>
      <w:r>
        <w:rPr>
          <w:rFonts w:hint="eastAsia" w:ascii="微软雅黑" w:hAnsi="微软雅黑" w:eastAsia="微软雅黑" w:cs="微软雅黑"/>
          <w:b/>
          <w:bCs/>
          <w:sz w:val="24"/>
        </w:rPr>
        <w:t>院校及学科简介</w:t>
      </w:r>
    </w:p>
    <w:p>
      <w:pPr>
        <w:snapToGrid w:val="0"/>
        <w:spacing w:line="360" w:lineRule="auto"/>
        <w:ind w:firstLine="600" w:firstLineChars="250"/>
        <w:contextualSpacing/>
        <w:rPr>
          <w:rFonts w:hint="eastAsia" w:ascii="微软雅黑" w:hAnsi="微软雅黑" w:eastAsia="微软雅黑" w:cs="微软雅黑"/>
          <w:sz w:val="24"/>
        </w:rPr>
      </w:pPr>
      <w:r>
        <w:rPr>
          <w:rFonts w:hint="eastAsia" w:ascii="微软雅黑" w:hAnsi="微软雅黑" w:eastAsia="微软雅黑" w:cs="微软雅黑"/>
          <w:sz w:val="24"/>
        </w:rPr>
        <w:t>山西医科大学前身是山西医学传习所，创建于1919年8月。1921年8月，改为山西医学专门学校。1928年8月，更名为山西医学专科学校。1932年1月，组建为私立山西川至医学专科学校。1940年3月并入山西大学，称作山西大学医学专修科。1946年8月，升格为国立山西大学医学院。1953年9月，独立建校，更名为山西医学院。1996年9月，更名为山西医科大学。</w:t>
      </w:r>
    </w:p>
    <w:p>
      <w:pPr>
        <w:snapToGrid w:val="0"/>
        <w:spacing w:line="360" w:lineRule="auto"/>
        <w:ind w:firstLine="600" w:firstLineChars="250"/>
        <w:contextualSpacing/>
        <w:rPr>
          <w:rFonts w:hint="eastAsia" w:ascii="微软雅黑" w:hAnsi="微软雅黑" w:eastAsia="微软雅黑" w:cs="微软雅黑"/>
          <w:sz w:val="24"/>
        </w:rPr>
      </w:pPr>
      <w:r>
        <w:rPr>
          <w:rFonts w:hint="eastAsia" w:ascii="微软雅黑" w:hAnsi="微软雅黑" w:eastAsia="微软雅黑" w:cs="微软雅黑"/>
          <w:sz w:val="24"/>
        </w:rPr>
        <w:t>学校是全国第三批、山西省首批博士学位授权单位，全国首批硕士学位授权单位，全国首批学士学位授权单位，教育部首批“卓越医生教育培养计划”试点单位，全国开办七年制临床医学专业的25所医学院校之一，全国首批恢复儿科学本科专业的8所医学院校之一，国家中西部高校基础能力建设工程支持高校。</w:t>
      </w:r>
    </w:p>
    <w:p>
      <w:pPr>
        <w:snapToGrid w:val="0"/>
        <w:spacing w:line="360" w:lineRule="auto"/>
        <w:ind w:firstLine="600" w:firstLineChars="250"/>
        <w:contextualSpacing/>
        <w:rPr>
          <w:rFonts w:hint="eastAsia" w:ascii="微软雅黑" w:hAnsi="微软雅黑" w:eastAsia="微软雅黑" w:cs="微软雅黑"/>
          <w:sz w:val="24"/>
        </w:rPr>
      </w:pPr>
      <w:r>
        <w:rPr>
          <w:rFonts w:hint="eastAsia" w:ascii="微软雅黑" w:hAnsi="微软雅黑" w:eastAsia="微软雅黑" w:cs="微软雅黑"/>
          <w:sz w:val="24"/>
        </w:rPr>
        <w:t>临床医学作为直接面对疾病和病人，研究疾病的病因、诊断、治疗和</w:t>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"https://baike.baidu.com/item/%E9%A2%84%E5%90%8E/8360987" \t "https://baike.baidu.com/item/%E4%B8%B4%E5%BA%8A%E5%8C%BB%E5%AD%A6/_blank" </w:instrText>
      </w:r>
      <w:r>
        <w:rPr>
          <w:rFonts w:hint="eastAsia" w:ascii="微软雅黑" w:hAnsi="微软雅黑" w:eastAsia="微软雅黑" w:cs="微软雅黑"/>
        </w:rPr>
        <w:fldChar w:fldCharType="separate"/>
      </w:r>
      <w:r>
        <w:rPr>
          <w:rFonts w:hint="eastAsia" w:ascii="微软雅黑" w:hAnsi="微软雅黑" w:eastAsia="微软雅黑" w:cs="微软雅黑"/>
          <w:sz w:val="24"/>
        </w:rPr>
        <w:t>预后</w:t>
      </w:r>
      <w:r>
        <w:rPr>
          <w:rFonts w:hint="eastAsia" w:ascii="微软雅黑" w:hAnsi="微软雅黑" w:eastAsia="微软雅黑" w:cs="微软雅黑"/>
          <w:sz w:val="24"/>
        </w:rPr>
        <w:fldChar w:fldCharType="end"/>
      </w:r>
      <w:r>
        <w:rPr>
          <w:rFonts w:hint="eastAsia" w:ascii="微软雅黑" w:hAnsi="微软雅黑" w:eastAsia="微软雅黑" w:cs="微软雅黑"/>
          <w:sz w:val="24"/>
        </w:rPr>
        <w:t>，提高临床治疗水平，促进人体健康的科学</w:t>
      </w:r>
      <w:r>
        <w:rPr>
          <w:rFonts w:hint="eastAsia" w:ascii="微软雅黑" w:hAnsi="微软雅黑" w:eastAsia="微软雅黑" w:cs="微软雅黑"/>
          <w:sz w:val="24"/>
        </w:rPr>
        <w:t>，是和人们日常生活最密切的一门对病人直接实施治疗的科学，本校现开放了临床医学的内科学、儿科学、老年医学、神经病学等十七门专业的同等学力人员申请硕士学位课程班，用以培养更多的医学人才。</w:t>
      </w:r>
    </w:p>
    <w:p>
      <w:pPr>
        <w:snapToGrid w:val="0"/>
        <w:spacing w:line="360" w:lineRule="auto"/>
        <w:ind w:firstLine="600" w:firstLineChars="250"/>
        <w:contextualSpacing/>
        <w:rPr>
          <w:rFonts w:hint="eastAsia" w:ascii="微软雅黑" w:hAnsi="微软雅黑" w:eastAsia="微软雅黑" w:cs="微软雅黑"/>
          <w:sz w:val="24"/>
        </w:rPr>
      </w:pPr>
    </w:p>
    <w:p>
      <w:pPr>
        <w:numPr>
          <w:ilvl w:val="0"/>
          <w:numId w:val="1"/>
        </w:numPr>
        <w:snapToGrid w:val="0"/>
        <w:spacing w:line="360" w:lineRule="auto"/>
        <w:contextualSpacing/>
        <w:rPr>
          <w:rFonts w:hint="eastAsia" w:ascii="微软雅黑" w:hAnsi="微软雅黑" w:eastAsia="微软雅黑" w:cs="微软雅黑"/>
          <w:b/>
          <w:bCs/>
          <w:sz w:val="24"/>
        </w:rPr>
      </w:pPr>
      <w:r>
        <w:rPr>
          <w:rFonts w:hint="eastAsia" w:ascii="微软雅黑" w:hAnsi="微软雅黑" w:eastAsia="微软雅黑" w:cs="微软雅黑"/>
          <w:b/>
          <w:bCs/>
          <w:sz w:val="24"/>
        </w:rPr>
        <w:t>培养目标</w:t>
      </w:r>
    </w:p>
    <w:p>
      <w:pPr>
        <w:snapToGrid w:val="0"/>
        <w:spacing w:line="360" w:lineRule="auto"/>
        <w:ind w:firstLine="480" w:firstLineChars="200"/>
        <w:contextualSpacing/>
        <w:rPr>
          <w:rFonts w:hint="eastAsia" w:ascii="微软雅黑" w:hAnsi="微软雅黑" w:eastAsia="微软雅黑" w:cs="微软雅黑"/>
          <w:b/>
          <w:bCs/>
          <w:sz w:val="24"/>
        </w:rPr>
      </w:pPr>
      <w:r>
        <w:rPr>
          <w:rFonts w:hint="eastAsia" w:ascii="微软雅黑" w:hAnsi="微软雅黑" w:eastAsia="微软雅黑" w:cs="微软雅黑"/>
          <w:sz w:val="24"/>
        </w:rPr>
        <w:t>本学科专业主要通过学习和掌握临床医学和生物医学的基础理论和技能，和与医学相关的自然科学、行为科学和人文社会科学等基础知识，培养具备全面素质发展，具有重视医疗的伦理问题，团队合作与良好的人际沟通能力，能够妥善处理好医患，实事求是的科学态度并掌握正确解决问题的方法的，具备较好的职业道德素养、创新精神、实践能力和发展潜能的在医疗卫生领域从事临床医疗、预防、医学研究的临床医学的高素质医学专门人才。</w:t>
      </w:r>
    </w:p>
    <w:p>
      <w:pPr>
        <w:snapToGrid w:val="0"/>
        <w:spacing w:line="360" w:lineRule="auto"/>
        <w:ind w:firstLine="600" w:firstLineChars="250"/>
        <w:contextualSpacing/>
        <w:rPr>
          <w:rFonts w:hint="eastAsia" w:ascii="微软雅黑" w:hAnsi="微软雅黑" w:eastAsia="微软雅黑" w:cs="微软雅黑"/>
          <w:sz w:val="24"/>
        </w:rPr>
      </w:pPr>
    </w:p>
    <w:p>
      <w:pPr>
        <w:numPr>
          <w:ilvl w:val="0"/>
          <w:numId w:val="1"/>
        </w:numPr>
        <w:snapToGrid w:val="0"/>
        <w:spacing w:line="360" w:lineRule="auto"/>
        <w:contextualSpacing/>
        <w:rPr>
          <w:rFonts w:hint="eastAsia" w:ascii="微软雅黑" w:hAnsi="微软雅黑" w:eastAsia="微软雅黑" w:cs="微软雅黑"/>
          <w:b/>
          <w:bCs/>
          <w:sz w:val="24"/>
        </w:rPr>
      </w:pPr>
      <w:r>
        <w:rPr>
          <w:rFonts w:hint="eastAsia" w:ascii="微软雅黑" w:hAnsi="微软雅黑" w:eastAsia="微软雅黑" w:cs="微软雅黑"/>
          <w:b/>
          <w:bCs/>
          <w:sz w:val="24"/>
        </w:rPr>
        <w:t>培养优势</w:t>
      </w:r>
    </w:p>
    <w:p>
      <w:pPr>
        <w:widowControl/>
        <w:spacing w:line="360" w:lineRule="auto"/>
        <w:ind w:firstLine="480" w:firstLineChars="200"/>
        <w:contextualSpacing/>
        <w:jc w:val="left"/>
        <w:rPr>
          <w:rFonts w:hint="eastAsia" w:ascii="微软雅黑" w:hAnsi="微软雅黑" w:eastAsia="微软雅黑" w:cs="微软雅黑"/>
          <w:sz w:val="24"/>
        </w:rPr>
      </w:pPr>
      <w:r>
        <w:rPr>
          <w:rFonts w:hint="eastAsia" w:ascii="微软雅黑" w:hAnsi="微软雅黑" w:eastAsia="微软雅黑" w:cs="微软雅黑"/>
          <w:b/>
          <w:bCs/>
          <w:sz w:val="24"/>
        </w:rPr>
        <w:t>1、免试入学：</w:t>
      </w:r>
      <w:r>
        <w:rPr>
          <w:rFonts w:hint="eastAsia" w:ascii="微软雅黑" w:hAnsi="微软雅黑" w:eastAsia="微软雅黑" w:cs="微软雅黑"/>
          <w:sz w:val="24"/>
        </w:rPr>
        <w:t>大学本科学历获得学士学位即可报名参加，先学习再考试，有足够充分的准备和学习课程的时间；</w:t>
      </w:r>
    </w:p>
    <w:p>
      <w:pPr>
        <w:spacing w:line="360" w:lineRule="auto"/>
        <w:ind w:firstLine="480" w:firstLineChars="200"/>
        <w:rPr>
          <w:rFonts w:hint="eastAsia" w:ascii="微软雅黑" w:hAnsi="微软雅黑" w:eastAsia="微软雅黑" w:cs="微软雅黑"/>
          <w:sz w:val="24"/>
        </w:rPr>
      </w:pPr>
      <w:r>
        <w:rPr>
          <w:rFonts w:hint="eastAsia" w:ascii="微软雅黑" w:hAnsi="微软雅黑" w:eastAsia="微软雅黑" w:cs="微软雅黑"/>
          <w:b/>
          <w:bCs/>
          <w:sz w:val="24"/>
        </w:rPr>
        <w:t>2、专业优势:</w:t>
      </w:r>
      <w:r>
        <w:rPr>
          <w:rFonts w:hint="eastAsia" w:ascii="微软雅黑" w:hAnsi="微软雅黑" w:eastAsia="微软雅黑" w:cs="微软雅黑"/>
          <w:sz w:val="24"/>
        </w:rPr>
        <w:t>10个一级学科硕士学位授权点，8个硕士专业学位授权点；</w:t>
      </w:r>
    </w:p>
    <w:p>
      <w:pPr>
        <w:widowControl/>
        <w:spacing w:line="360" w:lineRule="auto"/>
        <w:ind w:firstLine="480" w:firstLineChars="200"/>
        <w:contextualSpacing/>
        <w:jc w:val="left"/>
        <w:rPr>
          <w:rFonts w:hint="eastAsia" w:ascii="微软雅黑" w:hAnsi="微软雅黑" w:eastAsia="微软雅黑" w:cs="微软雅黑"/>
          <w:sz w:val="24"/>
        </w:rPr>
      </w:pPr>
      <w:r>
        <w:rPr>
          <w:rFonts w:hint="eastAsia" w:ascii="微软雅黑" w:hAnsi="微软雅黑" w:eastAsia="微软雅黑" w:cs="微软雅黑"/>
          <w:b/>
          <w:bCs/>
          <w:sz w:val="24"/>
        </w:rPr>
        <w:t>3、师资队伍：</w:t>
      </w:r>
      <w:r>
        <w:rPr>
          <w:rFonts w:hint="eastAsia" w:ascii="微软雅黑" w:hAnsi="微软雅黑" w:eastAsia="微软雅黑" w:cs="微软雅黑"/>
          <w:sz w:val="24"/>
        </w:rPr>
        <w:t>学校师资丰厚，拥有国家杰出青年科学基金获得者、优秀青年基金获得者、国家“万人计划”领军专家、国家重点研发计划首席科学家、享受政府特殊津贴人员、国家级有突出贡献专家、中央联系的高级专家等；</w:t>
      </w:r>
    </w:p>
    <w:p>
      <w:pPr>
        <w:spacing w:line="360" w:lineRule="auto"/>
        <w:ind w:firstLine="480" w:firstLineChars="200"/>
        <w:jc w:val="left"/>
        <w:rPr>
          <w:rFonts w:hint="eastAsia" w:ascii="微软雅黑" w:hAnsi="微软雅黑" w:eastAsia="微软雅黑" w:cs="微软雅黑"/>
          <w:sz w:val="24"/>
        </w:rPr>
      </w:pPr>
      <w:r>
        <w:rPr>
          <w:rFonts w:hint="eastAsia" w:ascii="微软雅黑" w:hAnsi="微软雅黑" w:eastAsia="微软雅黑" w:cs="微软雅黑"/>
          <w:b/>
          <w:bCs/>
          <w:sz w:val="24"/>
        </w:rPr>
        <w:t>4、国际合作：</w:t>
      </w:r>
      <w:r>
        <w:rPr>
          <w:rFonts w:hint="eastAsia" w:ascii="微软雅黑" w:hAnsi="微软雅黑" w:eastAsia="微软雅黑" w:cs="微软雅黑"/>
          <w:sz w:val="24"/>
        </w:rPr>
        <w:t>学校与美国、加拿大、英国、爱尔兰、日本、俄罗斯、澳大利亚、希腊、瑞士等国家的大学和机构建立了合作关系；实施了“青年骨干教师海外培养计划” “博士研究生海外培养计划”，开展了“硕士研究生 1+1+1 联合培养”等项目；</w:t>
      </w:r>
    </w:p>
    <w:p>
      <w:pPr>
        <w:spacing w:line="360" w:lineRule="auto"/>
        <w:ind w:firstLine="480" w:firstLineChars="200"/>
        <w:jc w:val="left"/>
        <w:rPr>
          <w:rFonts w:hint="eastAsia" w:ascii="微软雅黑" w:hAnsi="微软雅黑" w:eastAsia="微软雅黑" w:cs="微软雅黑"/>
          <w:sz w:val="24"/>
        </w:rPr>
      </w:pPr>
      <w:r>
        <w:rPr>
          <w:rFonts w:hint="eastAsia" w:ascii="微软雅黑" w:hAnsi="微软雅黑" w:eastAsia="微软雅黑" w:cs="微软雅黑"/>
          <w:b/>
          <w:bCs/>
          <w:sz w:val="24"/>
        </w:rPr>
        <w:t>5、科研优势：</w:t>
      </w:r>
      <w:r>
        <w:rPr>
          <w:rFonts w:hint="eastAsia" w:ascii="微软雅黑" w:hAnsi="微软雅黑" w:eastAsia="微软雅黑" w:cs="微软雅黑"/>
          <w:sz w:val="24"/>
        </w:rPr>
        <w:t>学校承担省级以上科技计划项目598项，其中国家自然科学基金65项（包括重点项目1项、国际合作重点项目1项、区域联合基金重点项目4项），国家重点研发计划课题1项，国家社会科学基金1项；</w:t>
      </w:r>
    </w:p>
    <w:p>
      <w:pPr>
        <w:snapToGrid w:val="0"/>
        <w:spacing w:line="360" w:lineRule="auto"/>
        <w:ind w:firstLine="600" w:firstLineChars="250"/>
        <w:contextualSpacing/>
        <w:jc w:val="left"/>
        <w:rPr>
          <w:rFonts w:hint="eastAsia" w:ascii="微软雅黑" w:hAnsi="微软雅黑" w:eastAsia="微软雅黑" w:cs="微软雅黑"/>
          <w:sz w:val="24"/>
        </w:rPr>
      </w:pPr>
      <w:r>
        <w:rPr>
          <w:rFonts w:hint="eastAsia" w:ascii="微软雅黑" w:hAnsi="微软雅黑" w:eastAsia="微软雅黑" w:cs="微软雅黑"/>
          <w:b/>
          <w:bCs/>
          <w:sz w:val="24"/>
        </w:rPr>
        <w:t>6、社会服务：</w:t>
      </w:r>
      <w:r>
        <w:rPr>
          <w:rFonts w:hint="eastAsia" w:ascii="微软雅黑" w:hAnsi="微软雅黑" w:eastAsia="微软雅黑" w:cs="微软雅黑"/>
          <w:sz w:val="24"/>
        </w:rPr>
        <w:t>学校高度重视党的建设和思想政治工作，注重加强社会主义核心价值观教育和精神文明建设，先后获得</w:t>
      </w:r>
      <w:r>
        <w:rPr>
          <w:rFonts w:hint="eastAsia" w:ascii="微软雅黑" w:hAnsi="微软雅黑" w:eastAsia="微软雅黑" w:cs="微软雅黑"/>
          <w:sz w:val="24"/>
        </w:rPr>
        <w:t>山西省“全省先进基层党组织”“山西省五四红旗团委”</w:t>
      </w:r>
      <w:r>
        <w:rPr>
          <w:rFonts w:hint="eastAsia" w:ascii="微软雅黑" w:hAnsi="微软雅黑" w:eastAsia="微软雅黑" w:cs="微软雅黑"/>
          <w:sz w:val="24"/>
        </w:rPr>
        <w:t>等荣誉称号。</w:t>
      </w:r>
    </w:p>
    <w:p>
      <w:pPr>
        <w:snapToGrid w:val="0"/>
        <w:spacing w:line="360" w:lineRule="auto"/>
        <w:ind w:firstLine="600" w:firstLineChars="250"/>
        <w:contextualSpacing/>
        <w:jc w:val="left"/>
        <w:rPr>
          <w:rFonts w:hint="eastAsia" w:ascii="微软雅黑" w:hAnsi="微软雅黑" w:eastAsia="微软雅黑" w:cs="微软雅黑"/>
          <w:sz w:val="24"/>
        </w:rPr>
      </w:pPr>
    </w:p>
    <w:p>
      <w:pPr>
        <w:numPr>
          <w:ilvl w:val="0"/>
          <w:numId w:val="1"/>
        </w:numPr>
        <w:snapToGrid w:val="0"/>
        <w:spacing w:line="360" w:lineRule="auto"/>
        <w:contextualSpacing/>
        <w:rPr>
          <w:rFonts w:hint="eastAsia" w:ascii="微软雅黑" w:hAnsi="微软雅黑" w:eastAsia="微软雅黑" w:cs="微软雅黑"/>
          <w:b/>
          <w:bCs/>
          <w:sz w:val="24"/>
        </w:rPr>
      </w:pPr>
      <w:r>
        <w:rPr>
          <w:rFonts w:hint="eastAsia" w:ascii="微软雅黑" w:hAnsi="微软雅黑" w:eastAsia="微软雅黑" w:cs="微软雅黑"/>
          <w:b/>
          <w:bCs/>
          <w:sz w:val="24"/>
        </w:rPr>
        <w:t>学科专业</w:t>
      </w:r>
    </w:p>
    <w:tbl>
      <w:tblPr>
        <w:tblStyle w:val="5"/>
        <w:tblW w:w="8220" w:type="dxa"/>
        <w:tblInd w:w="0" w:type="dxa"/>
        <w:tblLayout w:type="autofit"/>
        <w:tblCellMar>
          <w:top w:w="0" w:type="dxa"/>
          <w:left w:w="0" w:type="dxa"/>
          <w:bottom w:w="0" w:type="dxa"/>
          <w:right w:w="0" w:type="dxa"/>
        </w:tblCellMar>
      </w:tblPr>
      <w:tblGrid>
        <w:gridCol w:w="2839"/>
        <w:gridCol w:w="2493"/>
        <w:gridCol w:w="2888"/>
      </w:tblGrid>
      <w:tr>
        <w:tblPrEx>
          <w:tblCellMar>
            <w:top w:w="0" w:type="dxa"/>
            <w:left w:w="0" w:type="dxa"/>
            <w:bottom w:w="0" w:type="dxa"/>
            <w:right w:w="0" w:type="dxa"/>
          </w:tblCellMar>
        </w:tblPrEx>
        <w:trPr>
          <w:trHeight w:val="491" w:hRule="atLeast"/>
        </w:trPr>
        <w:tc>
          <w:tcPr>
            <w:tcW w:w="5332" w:type="dxa"/>
            <w:gridSpan w:val="2"/>
            <w:tcBorders>
              <w:top w:val="single" w:color="000000" w:sz="4" w:space="0"/>
              <w:left w:val="single" w:color="000000" w:sz="4" w:space="0"/>
              <w:bottom w:val="single" w:color="auto" w:sz="4" w:space="0"/>
              <w:right w:val="single" w:color="auto" w:sz="4" w:space="0"/>
            </w:tcBorders>
            <w:tcMar>
              <w:top w:w="15" w:type="dxa"/>
              <w:left w:w="15" w:type="dxa"/>
              <w:right w:w="15" w:type="dxa"/>
            </w:tcMar>
            <w:vAlign w:val="center"/>
          </w:tcPr>
          <w:p>
            <w:pPr>
              <w:spacing w:line="360" w:lineRule="auto"/>
              <w:contextualSpacing/>
              <w:jc w:val="center"/>
              <w:textAlignment w:val="center"/>
              <w:rPr>
                <w:rFonts w:hint="eastAsia" w:ascii="微软雅黑" w:hAnsi="微软雅黑" w:eastAsia="微软雅黑" w:cs="微软雅黑"/>
                <w:color w:val="000000"/>
                <w:sz w:val="24"/>
              </w:rPr>
            </w:pPr>
            <w:r>
              <w:rPr>
                <w:rFonts w:hint="eastAsia" w:ascii="微软雅黑" w:hAnsi="微软雅黑" w:eastAsia="微软雅黑" w:cs="微软雅黑"/>
                <w:b/>
                <w:bCs/>
                <w:sz w:val="24"/>
              </w:rPr>
              <w:t>临床医学学科专业</w:t>
            </w:r>
          </w:p>
        </w:tc>
        <w:tc>
          <w:tcPr>
            <w:tcW w:w="2888" w:type="dxa"/>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spacing w:line="360" w:lineRule="auto"/>
              <w:contextualSpacing/>
              <w:jc w:val="center"/>
              <w:textAlignment w:val="center"/>
              <w:rPr>
                <w:rFonts w:hint="eastAsia" w:ascii="微软雅黑" w:hAnsi="微软雅黑" w:eastAsia="微软雅黑" w:cs="微软雅黑"/>
                <w:color w:val="000000"/>
                <w:sz w:val="24"/>
              </w:rPr>
            </w:pPr>
            <w:r>
              <w:rPr>
                <w:rFonts w:hint="eastAsia" w:ascii="微软雅黑" w:hAnsi="微软雅黑" w:eastAsia="微软雅黑" w:cs="微软雅黑"/>
                <w:b/>
                <w:bCs/>
                <w:sz w:val="24"/>
              </w:rPr>
              <w:t>全国统考科目</w:t>
            </w:r>
          </w:p>
        </w:tc>
      </w:tr>
      <w:tr>
        <w:tblPrEx>
          <w:tblCellMar>
            <w:top w:w="0" w:type="dxa"/>
            <w:left w:w="0" w:type="dxa"/>
            <w:bottom w:w="0" w:type="dxa"/>
            <w:right w:w="0" w:type="dxa"/>
          </w:tblCellMar>
        </w:tblPrEx>
        <w:trPr>
          <w:trHeight w:val="538" w:hRule="atLeast"/>
        </w:trPr>
        <w:tc>
          <w:tcPr>
            <w:tcW w:w="28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lang w:bidi="ar"/>
              </w:rPr>
              <w:t>内科学</w:t>
            </w:r>
          </w:p>
        </w:tc>
        <w:tc>
          <w:tcPr>
            <w:tcW w:w="24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lang w:bidi="ar"/>
              </w:rPr>
              <w:t>儿科学</w:t>
            </w:r>
          </w:p>
        </w:tc>
        <w:tc>
          <w:tcPr>
            <w:tcW w:w="2888"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auto"/>
              <w:contextualSpacing/>
              <w:jc w:val="center"/>
              <w:textAlignment w:val="center"/>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英语</w:t>
            </w:r>
          </w:p>
          <w:p>
            <w:pPr>
              <w:spacing w:line="360" w:lineRule="auto"/>
              <w:contextualSpacing/>
              <w:jc w:val="center"/>
              <w:textAlignment w:val="center"/>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专业临床医学</w:t>
            </w:r>
          </w:p>
        </w:tc>
      </w:tr>
      <w:tr>
        <w:tblPrEx>
          <w:tblCellMar>
            <w:top w:w="0" w:type="dxa"/>
            <w:left w:w="0" w:type="dxa"/>
            <w:bottom w:w="0" w:type="dxa"/>
            <w:right w:w="0" w:type="dxa"/>
          </w:tblCellMar>
        </w:tblPrEx>
        <w:trPr>
          <w:trHeight w:val="528" w:hRule="atLeast"/>
        </w:trPr>
        <w:tc>
          <w:tcPr>
            <w:tcW w:w="28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lang w:bidi="ar"/>
              </w:rPr>
              <w:t>老年医学</w:t>
            </w:r>
          </w:p>
        </w:tc>
        <w:tc>
          <w:tcPr>
            <w:tcW w:w="24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lang w:bidi="ar"/>
              </w:rPr>
              <w:t>神经病学</w:t>
            </w:r>
          </w:p>
        </w:tc>
        <w:tc>
          <w:tcPr>
            <w:tcW w:w="288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auto"/>
              <w:contextualSpacing/>
              <w:jc w:val="center"/>
              <w:textAlignment w:val="center"/>
              <w:rPr>
                <w:rFonts w:hint="eastAsia" w:ascii="微软雅黑" w:hAnsi="微软雅黑" w:eastAsia="微软雅黑" w:cs="微软雅黑"/>
                <w:color w:val="000000"/>
                <w:kern w:val="0"/>
                <w:szCs w:val="21"/>
              </w:rPr>
            </w:pPr>
          </w:p>
        </w:tc>
      </w:tr>
      <w:tr>
        <w:tblPrEx>
          <w:tblCellMar>
            <w:top w:w="0" w:type="dxa"/>
            <w:left w:w="0" w:type="dxa"/>
            <w:bottom w:w="0" w:type="dxa"/>
            <w:right w:w="0" w:type="dxa"/>
          </w:tblCellMar>
        </w:tblPrEx>
        <w:trPr>
          <w:trHeight w:val="528" w:hRule="atLeast"/>
        </w:trPr>
        <w:tc>
          <w:tcPr>
            <w:tcW w:w="28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lang w:bidi="ar"/>
              </w:rPr>
              <w:t>精神病与精神卫生学</w:t>
            </w:r>
          </w:p>
        </w:tc>
        <w:tc>
          <w:tcPr>
            <w:tcW w:w="24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lang w:bidi="ar"/>
              </w:rPr>
              <w:t>皮肤病与性病学</w:t>
            </w:r>
          </w:p>
        </w:tc>
        <w:tc>
          <w:tcPr>
            <w:tcW w:w="288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auto"/>
              <w:contextualSpacing/>
              <w:jc w:val="center"/>
              <w:textAlignment w:val="center"/>
              <w:rPr>
                <w:rFonts w:hint="eastAsia" w:ascii="微软雅黑" w:hAnsi="微软雅黑" w:eastAsia="微软雅黑" w:cs="微软雅黑"/>
                <w:color w:val="000000"/>
                <w:kern w:val="0"/>
                <w:szCs w:val="21"/>
              </w:rPr>
            </w:pPr>
          </w:p>
        </w:tc>
      </w:tr>
      <w:tr>
        <w:tblPrEx>
          <w:tblCellMar>
            <w:top w:w="0" w:type="dxa"/>
            <w:left w:w="0" w:type="dxa"/>
            <w:bottom w:w="0" w:type="dxa"/>
            <w:right w:w="0" w:type="dxa"/>
          </w:tblCellMar>
        </w:tblPrEx>
        <w:trPr>
          <w:trHeight w:val="528" w:hRule="atLeast"/>
        </w:trPr>
        <w:tc>
          <w:tcPr>
            <w:tcW w:w="28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lang w:bidi="ar"/>
              </w:rPr>
              <w:t>影像医学与核医学</w:t>
            </w:r>
          </w:p>
        </w:tc>
        <w:tc>
          <w:tcPr>
            <w:tcW w:w="24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lang w:bidi="ar"/>
              </w:rPr>
              <w:t>临床检验诊断学</w:t>
            </w:r>
          </w:p>
        </w:tc>
        <w:tc>
          <w:tcPr>
            <w:tcW w:w="288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auto"/>
              <w:contextualSpacing/>
              <w:jc w:val="center"/>
              <w:textAlignment w:val="center"/>
              <w:rPr>
                <w:rFonts w:hint="eastAsia" w:ascii="微软雅黑" w:hAnsi="微软雅黑" w:eastAsia="微软雅黑" w:cs="微软雅黑"/>
                <w:color w:val="000000"/>
                <w:kern w:val="0"/>
                <w:szCs w:val="21"/>
              </w:rPr>
            </w:pPr>
          </w:p>
        </w:tc>
      </w:tr>
      <w:tr>
        <w:tblPrEx>
          <w:tblCellMar>
            <w:top w:w="0" w:type="dxa"/>
            <w:left w:w="0" w:type="dxa"/>
            <w:bottom w:w="0" w:type="dxa"/>
            <w:right w:w="0" w:type="dxa"/>
          </w:tblCellMar>
        </w:tblPrEx>
        <w:trPr>
          <w:trHeight w:val="528" w:hRule="atLeast"/>
        </w:trPr>
        <w:tc>
          <w:tcPr>
            <w:tcW w:w="28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lang w:bidi="ar"/>
              </w:rPr>
              <w:t>外科学</w:t>
            </w:r>
          </w:p>
        </w:tc>
        <w:tc>
          <w:tcPr>
            <w:tcW w:w="24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lang w:bidi="ar"/>
              </w:rPr>
              <w:t>妇产科学</w:t>
            </w:r>
          </w:p>
        </w:tc>
        <w:tc>
          <w:tcPr>
            <w:tcW w:w="288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auto"/>
              <w:contextualSpacing/>
              <w:jc w:val="center"/>
              <w:textAlignment w:val="center"/>
              <w:rPr>
                <w:rFonts w:hint="eastAsia" w:ascii="微软雅黑" w:hAnsi="微软雅黑" w:eastAsia="微软雅黑" w:cs="微软雅黑"/>
                <w:color w:val="000000"/>
                <w:kern w:val="0"/>
                <w:szCs w:val="21"/>
              </w:rPr>
            </w:pPr>
          </w:p>
        </w:tc>
      </w:tr>
      <w:tr>
        <w:tblPrEx>
          <w:tblCellMar>
            <w:top w:w="0" w:type="dxa"/>
            <w:left w:w="0" w:type="dxa"/>
            <w:bottom w:w="0" w:type="dxa"/>
            <w:right w:w="0" w:type="dxa"/>
          </w:tblCellMar>
        </w:tblPrEx>
        <w:trPr>
          <w:trHeight w:val="528" w:hRule="atLeast"/>
        </w:trPr>
        <w:tc>
          <w:tcPr>
            <w:tcW w:w="28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lang w:bidi="ar"/>
              </w:rPr>
              <w:t>眼科学</w:t>
            </w:r>
          </w:p>
        </w:tc>
        <w:tc>
          <w:tcPr>
            <w:tcW w:w="24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lang w:bidi="ar"/>
              </w:rPr>
              <w:t>耳鼻咽喉科学</w:t>
            </w:r>
          </w:p>
        </w:tc>
        <w:tc>
          <w:tcPr>
            <w:tcW w:w="288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auto"/>
              <w:contextualSpacing/>
              <w:jc w:val="center"/>
              <w:textAlignment w:val="center"/>
              <w:rPr>
                <w:rFonts w:hint="eastAsia" w:ascii="微软雅黑" w:hAnsi="微软雅黑" w:eastAsia="微软雅黑" w:cs="微软雅黑"/>
                <w:color w:val="000000"/>
                <w:kern w:val="0"/>
                <w:szCs w:val="21"/>
              </w:rPr>
            </w:pPr>
          </w:p>
        </w:tc>
      </w:tr>
      <w:tr>
        <w:tblPrEx>
          <w:tblCellMar>
            <w:top w:w="0" w:type="dxa"/>
            <w:left w:w="0" w:type="dxa"/>
            <w:bottom w:w="0" w:type="dxa"/>
            <w:right w:w="0" w:type="dxa"/>
          </w:tblCellMar>
        </w:tblPrEx>
        <w:trPr>
          <w:trHeight w:val="528" w:hRule="atLeast"/>
        </w:trPr>
        <w:tc>
          <w:tcPr>
            <w:tcW w:w="28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lang w:bidi="ar"/>
              </w:rPr>
              <w:t>肿瘤学</w:t>
            </w:r>
          </w:p>
        </w:tc>
        <w:tc>
          <w:tcPr>
            <w:tcW w:w="24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lang w:bidi="ar"/>
              </w:rPr>
              <w:t>麻醉学</w:t>
            </w:r>
          </w:p>
        </w:tc>
        <w:tc>
          <w:tcPr>
            <w:tcW w:w="288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auto"/>
              <w:contextualSpacing/>
              <w:jc w:val="center"/>
              <w:textAlignment w:val="center"/>
              <w:rPr>
                <w:rFonts w:hint="eastAsia" w:ascii="微软雅黑" w:hAnsi="微软雅黑" w:eastAsia="微软雅黑" w:cs="微软雅黑"/>
                <w:color w:val="000000"/>
                <w:kern w:val="0"/>
                <w:szCs w:val="21"/>
              </w:rPr>
            </w:pPr>
          </w:p>
        </w:tc>
      </w:tr>
      <w:tr>
        <w:tblPrEx>
          <w:tblCellMar>
            <w:top w:w="0" w:type="dxa"/>
            <w:left w:w="0" w:type="dxa"/>
            <w:bottom w:w="0" w:type="dxa"/>
            <w:right w:w="0" w:type="dxa"/>
          </w:tblCellMar>
        </w:tblPrEx>
        <w:trPr>
          <w:trHeight w:val="528" w:hRule="atLeast"/>
        </w:trPr>
        <w:tc>
          <w:tcPr>
            <w:tcW w:w="28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lang w:bidi="ar"/>
              </w:rPr>
              <w:t>急诊医学</w:t>
            </w:r>
          </w:p>
        </w:tc>
        <w:tc>
          <w:tcPr>
            <w:tcW w:w="24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lang w:bidi="ar"/>
              </w:rPr>
              <w:t>全科医学</w:t>
            </w:r>
          </w:p>
        </w:tc>
        <w:tc>
          <w:tcPr>
            <w:tcW w:w="288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auto"/>
              <w:contextualSpacing/>
              <w:jc w:val="center"/>
              <w:textAlignment w:val="center"/>
              <w:rPr>
                <w:rFonts w:hint="eastAsia" w:ascii="微软雅黑" w:hAnsi="微软雅黑" w:eastAsia="微软雅黑" w:cs="微软雅黑"/>
                <w:color w:val="000000"/>
                <w:kern w:val="0"/>
                <w:szCs w:val="21"/>
              </w:rPr>
            </w:pPr>
          </w:p>
        </w:tc>
      </w:tr>
      <w:tr>
        <w:tblPrEx>
          <w:tblCellMar>
            <w:top w:w="0" w:type="dxa"/>
            <w:left w:w="0" w:type="dxa"/>
            <w:bottom w:w="0" w:type="dxa"/>
            <w:right w:w="0" w:type="dxa"/>
          </w:tblCellMar>
        </w:tblPrEx>
        <w:trPr>
          <w:trHeight w:val="528" w:hRule="atLeast"/>
        </w:trPr>
        <w:tc>
          <w:tcPr>
            <w:tcW w:w="28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lang w:bidi="ar"/>
              </w:rPr>
              <w:t>临床病理学</w:t>
            </w:r>
          </w:p>
        </w:tc>
        <w:tc>
          <w:tcPr>
            <w:tcW w:w="24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color w:val="000000"/>
                <w:kern w:val="0"/>
                <w:sz w:val="22"/>
                <w:szCs w:val="22"/>
                <w:lang w:bidi="ar"/>
              </w:rPr>
            </w:pPr>
          </w:p>
        </w:tc>
        <w:tc>
          <w:tcPr>
            <w:tcW w:w="288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auto"/>
              <w:contextualSpacing/>
              <w:jc w:val="center"/>
              <w:textAlignment w:val="center"/>
              <w:rPr>
                <w:rFonts w:hint="eastAsia" w:ascii="微软雅黑" w:hAnsi="微软雅黑" w:eastAsia="微软雅黑" w:cs="微软雅黑"/>
                <w:color w:val="000000"/>
                <w:kern w:val="0"/>
                <w:szCs w:val="21"/>
              </w:rPr>
            </w:pPr>
          </w:p>
        </w:tc>
      </w:tr>
    </w:tbl>
    <w:p>
      <w:pPr>
        <w:snapToGrid w:val="0"/>
        <w:spacing w:line="360" w:lineRule="auto"/>
        <w:contextualSpacing/>
        <w:rPr>
          <w:rFonts w:hint="eastAsia" w:ascii="微软雅黑" w:hAnsi="微软雅黑" w:eastAsia="微软雅黑" w:cs="微软雅黑"/>
          <w:b/>
          <w:bCs/>
          <w:sz w:val="24"/>
        </w:rPr>
      </w:pPr>
    </w:p>
    <w:p>
      <w:pPr>
        <w:numPr>
          <w:ilvl w:val="0"/>
          <w:numId w:val="1"/>
        </w:numPr>
        <w:snapToGrid w:val="0"/>
        <w:spacing w:line="360" w:lineRule="auto"/>
        <w:contextualSpacing/>
        <w:rPr>
          <w:rFonts w:hint="eastAsia" w:ascii="微软雅黑" w:hAnsi="微软雅黑" w:eastAsia="微软雅黑" w:cs="微软雅黑"/>
          <w:b/>
          <w:bCs/>
          <w:sz w:val="24"/>
        </w:rPr>
      </w:pPr>
      <w:r>
        <w:rPr>
          <w:rFonts w:hint="eastAsia" w:ascii="微软雅黑" w:hAnsi="微软雅黑" w:eastAsia="微软雅黑" w:cs="微软雅黑"/>
          <w:b/>
          <w:bCs/>
          <w:sz w:val="24"/>
        </w:rPr>
        <w:t>报考条件</w:t>
      </w:r>
    </w:p>
    <w:p>
      <w:pPr>
        <w:snapToGrid w:val="0"/>
        <w:spacing w:line="360" w:lineRule="auto"/>
        <w:ind w:firstLine="600" w:firstLineChars="250"/>
        <w:contextualSpacing/>
        <w:rPr>
          <w:rFonts w:hint="eastAsia" w:ascii="微软雅黑" w:hAnsi="微软雅黑" w:eastAsia="微软雅黑" w:cs="微软雅黑"/>
          <w:sz w:val="24"/>
        </w:rPr>
      </w:pPr>
      <w:r>
        <w:rPr>
          <w:rFonts w:hint="eastAsia" w:ascii="微软雅黑" w:hAnsi="微软雅黑" w:eastAsia="微软雅黑" w:cs="微软雅黑"/>
          <w:sz w:val="24"/>
        </w:rPr>
        <w:t>1、拥护中国共产党的领导，遵纪守法、品德优良。</w:t>
      </w:r>
    </w:p>
    <w:p>
      <w:pPr>
        <w:snapToGrid w:val="0"/>
        <w:spacing w:line="360" w:lineRule="auto"/>
        <w:ind w:firstLine="600" w:firstLineChars="250"/>
        <w:contextualSpacing/>
        <w:rPr>
          <w:rFonts w:hint="eastAsia" w:ascii="微软雅黑" w:hAnsi="微软雅黑" w:eastAsia="微软雅黑" w:cs="微软雅黑"/>
          <w:sz w:val="24"/>
        </w:rPr>
      </w:pPr>
      <w:r>
        <w:rPr>
          <w:rFonts w:hint="eastAsia" w:ascii="微软雅黑" w:hAnsi="微软雅黑" w:eastAsia="微软雅黑" w:cs="微软雅黑"/>
          <w:sz w:val="24"/>
        </w:rPr>
        <w:t>2、经本人所在工作单位同意，在申请学位的专业或相近专业做出成绩，为本单位业务骨干；身体健康，能坚持完成学业。</w:t>
      </w:r>
    </w:p>
    <w:p>
      <w:pPr>
        <w:snapToGrid w:val="0"/>
        <w:spacing w:line="360" w:lineRule="auto"/>
        <w:ind w:firstLine="600" w:firstLineChars="250"/>
        <w:contextualSpacing/>
        <w:rPr>
          <w:rFonts w:hint="eastAsia" w:ascii="微软雅黑" w:hAnsi="微软雅黑" w:eastAsia="微软雅黑" w:cs="微软雅黑"/>
          <w:sz w:val="24"/>
        </w:rPr>
      </w:pPr>
      <w:r>
        <w:rPr>
          <w:rFonts w:hint="eastAsia" w:ascii="微软雅黑" w:hAnsi="微软雅黑" w:eastAsia="微软雅黑" w:cs="微软雅黑"/>
          <w:sz w:val="24"/>
        </w:rPr>
        <w:t>3、申请人应为临床医学类或口腔医学类本科毕业生并已获得学士学位。</w:t>
      </w:r>
    </w:p>
    <w:p>
      <w:pPr>
        <w:snapToGrid w:val="0"/>
        <w:spacing w:line="360" w:lineRule="auto"/>
        <w:ind w:firstLine="600" w:firstLineChars="250"/>
        <w:contextualSpacing/>
        <w:rPr>
          <w:rFonts w:hint="eastAsia" w:ascii="微软雅黑" w:hAnsi="微软雅黑" w:eastAsia="微软雅黑" w:cs="微软雅黑"/>
          <w:sz w:val="24"/>
        </w:rPr>
      </w:pPr>
      <w:r>
        <w:rPr>
          <w:rFonts w:hint="eastAsia" w:ascii="微软雅黑" w:hAnsi="微软雅黑" w:eastAsia="微软雅黑" w:cs="微软雅黑"/>
          <w:sz w:val="24"/>
        </w:rPr>
        <w:t>4、申请人应为正在接受住院医师规范化培训的住院医师或已获得《住院医师规范化培训合格证书》的临床医师。</w:t>
      </w:r>
    </w:p>
    <w:p>
      <w:pPr>
        <w:snapToGrid w:val="0"/>
        <w:spacing w:line="360" w:lineRule="auto"/>
        <w:ind w:firstLine="600" w:firstLineChars="250"/>
        <w:contextualSpacing/>
        <w:rPr>
          <w:rFonts w:hint="eastAsia" w:ascii="微软雅黑" w:hAnsi="微软雅黑" w:eastAsia="微软雅黑" w:cs="微软雅黑"/>
          <w:sz w:val="24"/>
        </w:rPr>
      </w:pPr>
      <w:r>
        <w:rPr>
          <w:rFonts w:hint="eastAsia" w:ascii="微软雅黑" w:hAnsi="微软雅黑" w:eastAsia="微软雅黑" w:cs="微软雅黑"/>
          <w:sz w:val="24"/>
        </w:rPr>
        <w:t>5、申请人所申请的专业学位类别应与住院医师规范化培训专业相对应。</w:t>
      </w:r>
    </w:p>
    <w:p>
      <w:pPr>
        <w:snapToGrid w:val="0"/>
        <w:spacing w:line="360" w:lineRule="auto"/>
        <w:ind w:firstLine="600" w:firstLineChars="250"/>
        <w:contextualSpacing/>
        <w:rPr>
          <w:rFonts w:hint="eastAsia" w:ascii="微软雅黑" w:hAnsi="微软雅黑" w:eastAsia="微软雅黑" w:cs="微软雅黑"/>
          <w:sz w:val="24"/>
        </w:rPr>
      </w:pPr>
      <w:r>
        <w:rPr>
          <w:rFonts w:hint="eastAsia" w:ascii="微软雅黑" w:hAnsi="微软雅黑" w:eastAsia="微软雅黑" w:cs="微软雅黑"/>
          <w:sz w:val="24"/>
        </w:rPr>
        <w:t>6、申请人已有工作单位的需所在单位予以推荐。</w:t>
      </w:r>
    </w:p>
    <w:p>
      <w:pPr>
        <w:snapToGrid w:val="0"/>
        <w:spacing w:line="360" w:lineRule="auto"/>
        <w:ind w:firstLine="600" w:firstLineChars="250"/>
        <w:contextualSpacing/>
        <w:rPr>
          <w:rFonts w:hint="eastAsia" w:ascii="微软雅黑" w:hAnsi="微软雅黑" w:eastAsia="微软雅黑" w:cs="微软雅黑"/>
          <w:sz w:val="24"/>
        </w:rPr>
      </w:pPr>
    </w:p>
    <w:p>
      <w:pPr>
        <w:numPr>
          <w:ilvl w:val="0"/>
          <w:numId w:val="1"/>
        </w:numPr>
        <w:snapToGrid w:val="0"/>
        <w:spacing w:line="360" w:lineRule="auto"/>
        <w:contextualSpacing/>
        <w:rPr>
          <w:rFonts w:hint="eastAsia" w:ascii="微软雅黑" w:hAnsi="微软雅黑" w:eastAsia="微软雅黑" w:cs="微软雅黑"/>
          <w:b/>
          <w:bCs/>
          <w:sz w:val="24"/>
        </w:rPr>
      </w:pPr>
      <w:r>
        <w:rPr>
          <w:rFonts w:hint="eastAsia" w:ascii="微软雅黑" w:hAnsi="微软雅黑" w:eastAsia="微软雅黑" w:cs="微软雅黑"/>
          <w:b/>
          <w:bCs/>
          <w:sz w:val="24"/>
        </w:rPr>
        <w:t>报名材料</w:t>
      </w:r>
    </w:p>
    <w:p>
      <w:pPr>
        <w:snapToGrid w:val="0"/>
        <w:spacing w:line="360" w:lineRule="auto"/>
        <w:ind w:firstLine="480" w:firstLineChars="200"/>
        <w:contextualSpacing/>
        <w:rPr>
          <w:rFonts w:hint="eastAsia" w:ascii="微软雅黑" w:hAnsi="微软雅黑" w:eastAsia="微软雅黑" w:cs="微软雅黑"/>
          <w:sz w:val="24"/>
        </w:rPr>
      </w:pPr>
      <w:r>
        <w:rPr>
          <w:rFonts w:hint="eastAsia" w:ascii="微软雅黑" w:hAnsi="微软雅黑" w:eastAsia="微软雅黑" w:cs="微软雅黑"/>
          <w:sz w:val="24"/>
        </w:rPr>
        <w:t>提交电子材料进行审核，纸质材料由本人现场确认时携带</w:t>
      </w:r>
    </w:p>
    <w:p>
      <w:pPr>
        <w:numPr>
          <w:ilvl w:val="0"/>
          <w:numId w:val="2"/>
        </w:numPr>
        <w:snapToGrid w:val="0"/>
        <w:spacing w:line="360" w:lineRule="auto"/>
        <w:ind w:firstLine="600" w:firstLineChars="250"/>
        <w:contextualSpacing/>
        <w:rPr>
          <w:rFonts w:hint="eastAsia" w:ascii="微软雅黑" w:hAnsi="微软雅黑" w:eastAsia="微软雅黑" w:cs="微软雅黑"/>
          <w:sz w:val="24"/>
        </w:rPr>
      </w:pPr>
      <w:r>
        <w:rPr>
          <w:rFonts w:hint="eastAsia" w:ascii="微软雅黑" w:hAnsi="微软雅黑" w:eastAsia="微软雅黑" w:cs="微软雅黑"/>
          <w:sz w:val="24"/>
        </w:rPr>
        <w:t>居民二代身份证扫描件；</w:t>
      </w:r>
    </w:p>
    <w:p>
      <w:pPr>
        <w:numPr>
          <w:ilvl w:val="0"/>
          <w:numId w:val="2"/>
        </w:numPr>
        <w:snapToGrid w:val="0"/>
        <w:spacing w:line="360" w:lineRule="auto"/>
        <w:ind w:firstLine="600" w:firstLineChars="250"/>
        <w:contextualSpacing/>
        <w:rPr>
          <w:rFonts w:hint="eastAsia" w:ascii="微软雅黑" w:hAnsi="微软雅黑" w:eastAsia="微软雅黑" w:cs="微软雅黑"/>
          <w:sz w:val="24"/>
        </w:rPr>
      </w:pPr>
      <w:r>
        <w:rPr>
          <w:rFonts w:hint="eastAsia" w:ascii="微软雅黑" w:hAnsi="微软雅黑" w:eastAsia="微软雅黑" w:cs="微软雅黑"/>
          <w:sz w:val="24"/>
        </w:rPr>
        <w:t>本科毕业证书扫描件及教育部学历证书电子注册备案表；</w:t>
      </w:r>
    </w:p>
    <w:p>
      <w:pPr>
        <w:numPr>
          <w:ilvl w:val="0"/>
          <w:numId w:val="2"/>
        </w:numPr>
        <w:snapToGrid w:val="0"/>
        <w:spacing w:line="360" w:lineRule="auto"/>
        <w:ind w:firstLine="600" w:firstLineChars="250"/>
        <w:contextualSpacing/>
        <w:rPr>
          <w:rFonts w:hint="eastAsia" w:ascii="微软雅黑" w:hAnsi="微软雅黑" w:eastAsia="微软雅黑" w:cs="微软雅黑"/>
          <w:sz w:val="24"/>
        </w:rPr>
      </w:pPr>
      <w:r>
        <w:rPr>
          <w:rFonts w:hint="eastAsia" w:ascii="微软雅黑" w:hAnsi="微软雅黑" w:eastAsia="微软雅黑" w:cs="微软雅黑"/>
          <w:sz w:val="24"/>
        </w:rPr>
        <w:t>学士学位证书扫描件及中国高等教育学位在线验证报告；</w:t>
      </w:r>
    </w:p>
    <w:p>
      <w:pPr>
        <w:numPr>
          <w:ilvl w:val="0"/>
          <w:numId w:val="2"/>
        </w:numPr>
        <w:snapToGrid w:val="0"/>
        <w:spacing w:line="360" w:lineRule="auto"/>
        <w:ind w:firstLine="600" w:firstLineChars="250"/>
        <w:contextualSpacing/>
        <w:rPr>
          <w:rFonts w:hint="eastAsia" w:ascii="微软雅黑" w:hAnsi="微软雅黑" w:eastAsia="微软雅黑" w:cs="微软雅黑"/>
          <w:sz w:val="24"/>
        </w:rPr>
      </w:pPr>
      <w:r>
        <w:rPr>
          <w:rFonts w:hint="eastAsia" w:ascii="微软雅黑" w:hAnsi="微软雅黑" w:eastAsia="微软雅黑" w:cs="微软雅黑"/>
          <w:sz w:val="24"/>
        </w:rPr>
        <w:t>《同等学力硕士报名表2022》；</w:t>
      </w:r>
    </w:p>
    <w:p>
      <w:pPr>
        <w:numPr>
          <w:ilvl w:val="0"/>
          <w:numId w:val="2"/>
        </w:numPr>
        <w:snapToGrid w:val="0"/>
        <w:spacing w:line="360" w:lineRule="auto"/>
        <w:ind w:firstLine="600" w:firstLineChars="250"/>
        <w:contextualSpacing/>
        <w:rPr>
          <w:rFonts w:hint="eastAsia" w:ascii="微软雅黑" w:hAnsi="微软雅黑" w:eastAsia="微软雅黑" w:cs="微软雅黑"/>
          <w:sz w:val="24"/>
        </w:rPr>
      </w:pPr>
      <w:r>
        <w:rPr>
          <w:rFonts w:hint="eastAsia" w:ascii="微软雅黑" w:hAnsi="微软雅黑" w:eastAsia="微软雅黑" w:cs="微软雅黑"/>
          <w:sz w:val="24"/>
        </w:rPr>
        <w:t>《单位推荐表》；</w:t>
      </w:r>
    </w:p>
    <w:p>
      <w:pPr>
        <w:numPr>
          <w:ilvl w:val="0"/>
          <w:numId w:val="2"/>
        </w:numPr>
        <w:snapToGrid w:val="0"/>
        <w:spacing w:line="360" w:lineRule="auto"/>
        <w:ind w:firstLine="600" w:firstLineChars="250"/>
        <w:contextualSpacing/>
        <w:rPr>
          <w:rFonts w:hint="eastAsia" w:ascii="微软雅黑" w:hAnsi="微软雅黑" w:eastAsia="微软雅黑" w:cs="微软雅黑"/>
          <w:sz w:val="24"/>
        </w:rPr>
      </w:pPr>
      <w:r>
        <w:rPr>
          <w:rFonts w:hint="eastAsia" w:ascii="微软雅黑" w:hAnsi="微软雅黑" w:eastAsia="微软雅黑" w:cs="微软雅黑"/>
          <w:sz w:val="24"/>
        </w:rPr>
        <w:t>《住院医师规范化培训合格证书》，或规培基地开具的正在接受规培的相关证明；</w:t>
      </w:r>
    </w:p>
    <w:p>
      <w:pPr>
        <w:numPr>
          <w:ilvl w:val="0"/>
          <w:numId w:val="2"/>
        </w:numPr>
        <w:snapToGrid w:val="0"/>
        <w:spacing w:line="360" w:lineRule="auto"/>
        <w:ind w:firstLine="600" w:firstLineChars="250"/>
        <w:contextualSpacing/>
        <w:rPr>
          <w:rFonts w:hint="eastAsia" w:ascii="微软雅黑" w:hAnsi="微软雅黑" w:eastAsia="微软雅黑" w:cs="微软雅黑"/>
          <w:sz w:val="24"/>
        </w:rPr>
      </w:pPr>
      <w:r>
        <w:rPr>
          <w:rFonts w:hint="eastAsia" w:ascii="微软雅黑" w:hAnsi="微软雅黑" w:eastAsia="微软雅黑" w:cs="微软雅黑"/>
          <w:sz w:val="24"/>
        </w:rPr>
        <w:t>近期一寸蓝底照片电子版；</w:t>
      </w:r>
    </w:p>
    <w:p>
      <w:pPr>
        <w:numPr>
          <w:ilvl w:val="0"/>
          <w:numId w:val="2"/>
        </w:numPr>
        <w:snapToGrid w:val="0"/>
        <w:spacing w:line="360" w:lineRule="auto"/>
        <w:ind w:firstLine="600" w:firstLineChars="250"/>
        <w:contextualSpacing/>
        <w:rPr>
          <w:rFonts w:hint="eastAsia" w:ascii="微软雅黑" w:hAnsi="微软雅黑" w:eastAsia="微软雅黑" w:cs="微软雅黑"/>
          <w:sz w:val="24"/>
        </w:rPr>
      </w:pPr>
      <w:r>
        <w:rPr>
          <w:rFonts w:hint="eastAsia" w:ascii="微软雅黑" w:hAnsi="微软雅黑" w:eastAsia="微软雅黑" w:cs="微软雅黑"/>
          <w:sz w:val="24"/>
        </w:rPr>
        <w:t>缴费凭证。</w:t>
      </w:r>
    </w:p>
    <w:p>
      <w:pPr>
        <w:snapToGrid w:val="0"/>
        <w:spacing w:line="360" w:lineRule="auto"/>
        <w:ind w:firstLine="480" w:firstLineChars="200"/>
        <w:contextualSpacing/>
        <w:rPr>
          <w:rFonts w:hint="eastAsia" w:ascii="微软雅黑" w:hAnsi="微软雅黑" w:eastAsia="微软雅黑" w:cs="微软雅黑"/>
          <w:sz w:val="24"/>
        </w:rPr>
      </w:pPr>
      <w:r>
        <w:rPr>
          <w:rFonts w:hint="eastAsia" w:ascii="微软雅黑" w:hAnsi="微软雅黑" w:eastAsia="微软雅黑" w:cs="微软雅黑"/>
          <w:sz w:val="24"/>
        </w:rPr>
        <w:t>注：现场确认时，所有证件原件本人需随身携带，否则不予采集指纹录像。</w:t>
      </w:r>
    </w:p>
    <w:p>
      <w:pPr>
        <w:snapToGrid w:val="0"/>
        <w:spacing w:line="360" w:lineRule="auto"/>
        <w:contextualSpacing/>
        <w:rPr>
          <w:rFonts w:hint="eastAsia" w:ascii="微软雅黑" w:hAnsi="微软雅黑" w:eastAsia="微软雅黑" w:cs="微软雅黑"/>
          <w:sz w:val="24"/>
        </w:rPr>
      </w:pPr>
    </w:p>
    <w:p>
      <w:pPr>
        <w:snapToGrid w:val="0"/>
        <w:spacing w:line="360" w:lineRule="auto"/>
        <w:contextualSpacing/>
        <w:rPr>
          <w:rFonts w:hint="eastAsia" w:ascii="微软雅黑" w:hAnsi="微软雅黑" w:eastAsia="微软雅黑" w:cs="微软雅黑"/>
          <w:sz w:val="24"/>
        </w:rPr>
      </w:pPr>
    </w:p>
    <w:p>
      <w:pPr>
        <w:numPr>
          <w:ilvl w:val="0"/>
          <w:numId w:val="1"/>
        </w:numPr>
        <w:snapToGrid w:val="0"/>
        <w:spacing w:line="360" w:lineRule="auto"/>
        <w:contextualSpacing/>
        <w:rPr>
          <w:rFonts w:hint="eastAsia" w:ascii="微软雅黑" w:hAnsi="微软雅黑" w:eastAsia="微软雅黑" w:cs="微软雅黑"/>
          <w:b/>
          <w:bCs/>
          <w:sz w:val="24"/>
        </w:rPr>
      </w:pPr>
      <w:r>
        <w:rPr>
          <w:rFonts w:hint="eastAsia" w:ascii="微软雅黑" w:hAnsi="微软雅黑" w:eastAsia="微软雅黑" w:cs="微软雅黑"/>
          <w:b/>
          <w:bCs/>
          <w:sz w:val="24"/>
        </w:rPr>
        <w:t>学业要求</w:t>
      </w:r>
    </w:p>
    <w:p>
      <w:pPr>
        <w:numPr>
          <w:ilvl w:val="0"/>
          <w:numId w:val="3"/>
        </w:numPr>
        <w:snapToGrid w:val="0"/>
        <w:spacing w:line="360" w:lineRule="auto"/>
        <w:ind w:firstLine="600"/>
        <w:contextualSpacing/>
        <w:rPr>
          <w:rFonts w:hint="eastAsia" w:ascii="微软雅黑" w:hAnsi="微软雅黑" w:eastAsia="微软雅黑" w:cs="微软雅黑"/>
          <w:sz w:val="24"/>
        </w:rPr>
      </w:pPr>
      <w:r>
        <w:rPr>
          <w:rFonts w:hint="eastAsia" w:ascii="微软雅黑" w:hAnsi="微软雅黑" w:eastAsia="微软雅黑" w:cs="微软雅黑"/>
          <w:sz w:val="24"/>
        </w:rPr>
        <w:t>课程学习：</w:t>
      </w:r>
      <w:r>
        <w:rPr>
          <w:rFonts w:hint="eastAsia" w:ascii="微软雅黑" w:hAnsi="微软雅黑" w:eastAsia="微软雅黑" w:cs="微软雅黑"/>
          <w:sz w:val="24"/>
        </w:rPr>
        <w:t>周末面授+线上学习，学员可根据自身实际情况灵活选择</w:t>
      </w:r>
      <w:r>
        <w:rPr>
          <w:rFonts w:hint="eastAsia" w:ascii="微软雅黑" w:hAnsi="微软雅黑" w:eastAsia="微软雅黑" w:cs="微软雅黑"/>
          <w:sz w:val="24"/>
        </w:rPr>
        <w:t>。</w:t>
      </w:r>
    </w:p>
    <w:p>
      <w:pPr>
        <w:numPr>
          <w:ilvl w:val="0"/>
          <w:numId w:val="3"/>
        </w:numPr>
        <w:snapToGrid w:val="0"/>
        <w:spacing w:line="360" w:lineRule="auto"/>
        <w:ind w:firstLine="600" w:firstLineChars="250"/>
        <w:contextualSpacing/>
        <w:rPr>
          <w:rFonts w:hint="eastAsia" w:ascii="微软雅黑" w:hAnsi="微软雅黑" w:eastAsia="微软雅黑" w:cs="微软雅黑"/>
          <w:sz w:val="24"/>
        </w:rPr>
      </w:pPr>
      <w:r>
        <w:rPr>
          <w:rFonts w:hint="eastAsia" w:ascii="微软雅黑" w:hAnsi="微软雅黑" w:eastAsia="微软雅黑" w:cs="微软雅黑"/>
          <w:sz w:val="24"/>
        </w:rPr>
        <w:t>统一考试：申请人在完成学位课程后，必须通过同等学力人员申请硕士学位全国统一考试。</w:t>
      </w:r>
    </w:p>
    <w:p>
      <w:pPr>
        <w:numPr>
          <w:ilvl w:val="0"/>
          <w:numId w:val="3"/>
        </w:numPr>
        <w:snapToGrid w:val="0"/>
        <w:spacing w:line="360" w:lineRule="auto"/>
        <w:ind w:firstLine="480" w:firstLineChars="200"/>
        <w:contextualSpacing/>
        <w:rPr>
          <w:rFonts w:hint="eastAsia" w:ascii="微软雅黑" w:hAnsi="微软雅黑" w:eastAsia="微软雅黑" w:cs="微软雅黑"/>
          <w:sz w:val="24"/>
        </w:rPr>
      </w:pPr>
      <w:r>
        <w:rPr>
          <w:rFonts w:hint="eastAsia" w:ascii="微软雅黑" w:hAnsi="微软雅黑" w:eastAsia="微软雅黑" w:cs="微软雅黑"/>
          <w:sz w:val="24"/>
        </w:rPr>
        <w:t>论文答辩：申请人通过学位课程全部考试和取得国家统考合格成绩后，通过学位管理部门对学位论文的审核和论文答辩，方可获得硕士学位。</w:t>
      </w:r>
    </w:p>
    <w:p>
      <w:pPr>
        <w:numPr>
          <w:ilvl w:val="0"/>
          <w:numId w:val="3"/>
        </w:numPr>
        <w:snapToGrid w:val="0"/>
        <w:spacing w:line="360" w:lineRule="auto"/>
        <w:ind w:firstLine="480" w:firstLineChars="200"/>
        <w:contextualSpacing/>
        <w:rPr>
          <w:rFonts w:hint="eastAsia" w:ascii="微软雅黑" w:hAnsi="微软雅黑" w:eastAsia="微软雅黑" w:cs="微软雅黑"/>
          <w:sz w:val="24"/>
        </w:rPr>
      </w:pPr>
      <w:r>
        <w:rPr>
          <w:rFonts w:hint="eastAsia" w:ascii="微软雅黑" w:hAnsi="微软雅黑" w:eastAsia="微软雅黑" w:cs="微软雅黑"/>
          <w:sz w:val="24"/>
        </w:rPr>
        <w:t>同等学力人员申请硕士学位的有效期为五年，即必须在自报考资格审查通过之日起五年内完成全部学业，逾期则本次申请失效。</w:t>
      </w:r>
    </w:p>
    <w:p>
      <w:pPr>
        <w:snapToGrid w:val="0"/>
        <w:spacing w:line="360" w:lineRule="auto"/>
        <w:ind w:left="420" w:leftChars="200"/>
        <w:contextualSpacing/>
        <w:rPr>
          <w:rFonts w:hint="eastAsia" w:ascii="微软雅黑" w:hAnsi="微软雅黑" w:eastAsia="微软雅黑" w:cs="微软雅黑"/>
          <w:sz w:val="24"/>
        </w:rPr>
      </w:pPr>
    </w:p>
    <w:p>
      <w:pPr>
        <w:numPr>
          <w:ilvl w:val="0"/>
          <w:numId w:val="1"/>
        </w:numPr>
        <w:snapToGrid w:val="0"/>
        <w:spacing w:line="360" w:lineRule="auto"/>
        <w:contextualSpacing/>
        <w:rPr>
          <w:rFonts w:hint="eastAsia" w:ascii="微软雅黑" w:hAnsi="微软雅黑" w:eastAsia="微软雅黑" w:cs="微软雅黑"/>
          <w:b/>
          <w:bCs/>
          <w:sz w:val="24"/>
        </w:rPr>
      </w:pPr>
      <w:r>
        <w:rPr>
          <w:rFonts w:hint="eastAsia" w:ascii="微软雅黑" w:hAnsi="微软雅黑" w:eastAsia="微软雅黑" w:cs="微软雅黑"/>
          <w:b/>
          <w:bCs/>
          <w:sz w:val="24"/>
        </w:rPr>
        <w:t>收费标准及学制</w:t>
      </w:r>
    </w:p>
    <w:p>
      <w:pPr>
        <w:pStyle w:val="8"/>
        <w:numPr>
          <w:ilvl w:val="0"/>
          <w:numId w:val="4"/>
        </w:numPr>
        <w:snapToGrid w:val="0"/>
        <w:spacing w:line="360" w:lineRule="auto"/>
        <w:ind w:firstLine="480"/>
        <w:contextualSpacing/>
        <w:rPr>
          <w:rFonts w:hint="eastAsia" w:ascii="微软雅黑" w:hAnsi="微软雅黑" w:eastAsia="微软雅黑" w:cs="微软雅黑"/>
          <w:sz w:val="24"/>
        </w:rPr>
      </w:pPr>
      <w:r>
        <w:rPr>
          <w:rFonts w:hint="eastAsia" w:ascii="微软雅黑" w:hAnsi="微软雅黑" w:eastAsia="微软雅黑" w:cs="微软雅黑"/>
          <w:sz w:val="24"/>
        </w:rPr>
        <w:t>按要求缴纳课程学习费8000元；资格确认100</w:t>
      </w:r>
      <w:bookmarkStart w:id="0" w:name="_GoBack"/>
      <w:bookmarkEnd w:id="0"/>
      <w:r>
        <w:rPr>
          <w:rFonts w:hint="eastAsia" w:ascii="微软雅黑" w:hAnsi="微软雅黑" w:eastAsia="微软雅黑" w:cs="微软雅黑"/>
          <w:sz w:val="24"/>
        </w:rPr>
        <w:t>00元；论文指导及答辩20000元。费用缴纳后，因个人原因不能完成学业，已交费用不退。</w:t>
      </w:r>
    </w:p>
    <w:p>
      <w:pPr>
        <w:pStyle w:val="8"/>
        <w:numPr>
          <w:ilvl w:val="0"/>
          <w:numId w:val="4"/>
        </w:numPr>
        <w:snapToGrid w:val="0"/>
        <w:spacing w:line="360" w:lineRule="auto"/>
        <w:ind w:firstLine="480"/>
        <w:contextualSpacing/>
        <w:rPr>
          <w:rFonts w:hint="eastAsia" w:ascii="微软雅黑" w:hAnsi="微软雅黑" w:eastAsia="微软雅黑" w:cs="微软雅黑"/>
          <w:sz w:val="24"/>
        </w:rPr>
      </w:pPr>
      <w:r>
        <w:rPr>
          <w:rFonts w:hint="eastAsia" w:ascii="微软雅黑" w:hAnsi="微软雅黑" w:eastAsia="微软雅黑" w:cs="微软雅黑"/>
          <w:sz w:val="24"/>
        </w:rPr>
        <w:t>学制2年。</w:t>
      </w:r>
    </w:p>
    <w:p>
      <w:pPr>
        <w:pStyle w:val="8"/>
        <w:snapToGrid w:val="0"/>
        <w:spacing w:line="360" w:lineRule="auto"/>
        <w:ind w:firstLine="0" w:firstLineChars="0"/>
        <w:contextualSpacing/>
        <w:rPr>
          <w:rFonts w:hint="eastAsia" w:ascii="微软雅黑" w:hAnsi="微软雅黑" w:eastAsia="微软雅黑" w:cs="微软雅黑"/>
          <w:sz w:val="24"/>
        </w:rPr>
      </w:pPr>
    </w:p>
    <w:p>
      <w:pPr>
        <w:numPr>
          <w:ilvl w:val="0"/>
          <w:numId w:val="1"/>
        </w:numPr>
        <w:snapToGrid w:val="0"/>
        <w:spacing w:line="360" w:lineRule="auto"/>
        <w:contextualSpacing/>
        <w:rPr>
          <w:rFonts w:hint="eastAsia" w:ascii="微软雅黑" w:hAnsi="微软雅黑" w:eastAsia="微软雅黑" w:cs="微软雅黑"/>
          <w:b/>
          <w:bCs/>
          <w:sz w:val="24"/>
        </w:rPr>
      </w:pPr>
      <w:r>
        <w:rPr>
          <w:rFonts w:hint="eastAsia" w:ascii="微软雅黑" w:hAnsi="微软雅黑" w:eastAsia="微软雅黑" w:cs="微软雅黑"/>
          <w:b/>
          <w:bCs/>
          <w:sz w:val="24"/>
        </w:rPr>
        <w:t>联系方式</w:t>
      </w:r>
    </w:p>
    <w:p>
      <w:pPr>
        <w:snapToGrid w:val="0"/>
        <w:spacing w:line="360" w:lineRule="auto"/>
        <w:ind w:firstLine="480" w:firstLineChars="200"/>
        <w:contextualSpacing/>
        <w:rPr>
          <w:rFonts w:hint="eastAsia" w:ascii="微软雅黑" w:hAnsi="微软雅黑" w:eastAsia="微软雅黑" w:cs="微软雅黑"/>
          <w:sz w:val="24"/>
        </w:rPr>
      </w:pPr>
      <w:r>
        <w:rPr>
          <w:rFonts w:hint="eastAsia" w:ascii="微软雅黑" w:hAnsi="微软雅黑" w:eastAsia="微软雅黑" w:cs="微软雅黑"/>
          <w:sz w:val="24"/>
        </w:rPr>
        <w:t>咨询电话：</w:t>
      </w:r>
    </w:p>
    <w:p>
      <w:pPr>
        <w:snapToGrid w:val="0"/>
        <w:spacing w:line="360" w:lineRule="auto"/>
        <w:ind w:firstLine="480" w:firstLineChars="200"/>
        <w:contextualSpacing/>
        <w:rPr>
          <w:rFonts w:hint="eastAsia" w:ascii="微软雅黑" w:hAnsi="微软雅黑" w:eastAsia="微软雅黑" w:cs="微软雅黑"/>
          <w:sz w:val="24"/>
        </w:rPr>
      </w:pPr>
      <w:r>
        <w:rPr>
          <w:rFonts w:hint="eastAsia" w:ascii="微软雅黑" w:hAnsi="微软雅黑" w:eastAsia="微软雅黑" w:cs="微软雅黑"/>
          <w:sz w:val="24"/>
        </w:rPr>
        <w:t>联系地址：</w:t>
      </w:r>
    </w:p>
    <w:p>
      <w:pPr>
        <w:snapToGrid w:val="0"/>
        <w:spacing w:line="360" w:lineRule="auto"/>
        <w:contextualSpacing/>
        <w:rPr>
          <w:rFonts w:hint="eastAsia" w:ascii="微软雅黑" w:hAnsi="微软雅黑" w:eastAsia="微软雅黑" w:cs="微软雅黑"/>
          <w:sz w:val="24"/>
        </w:rPr>
      </w:pPr>
    </w:p>
    <w:p>
      <w:pPr>
        <w:snapToGrid w:val="0"/>
        <w:spacing w:line="360" w:lineRule="auto"/>
        <w:ind w:firstLine="600" w:firstLineChars="250"/>
        <w:contextualSpacing/>
        <w:rPr>
          <w:rFonts w:hint="eastAsia" w:ascii="微软雅黑" w:hAnsi="微软雅黑" w:eastAsia="微软雅黑" w:cs="微软雅黑"/>
          <w:sz w:val="24"/>
        </w:rPr>
      </w:pPr>
    </w:p>
    <w:p>
      <w:pPr>
        <w:rPr>
          <w:rFonts w:hint="eastAsia" w:ascii="微软雅黑" w:hAnsi="微软雅黑" w:eastAsia="微软雅黑" w:cs="微软雅黑"/>
          <w:b/>
          <w:bCs/>
          <w:sz w:val="24"/>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5274310"/>
          <wp:effectExtent l="0" t="0" r="2540" b="2540"/>
          <wp:wrapNone/>
          <wp:docPr id="2" name="WordPictureWatermark13410" descr="山西医科大学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3410" descr="山西医科大学水印"/>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5577DE"/>
    <w:multiLevelType w:val="singleLevel"/>
    <w:tmpl w:val="1D5577DE"/>
    <w:lvl w:ilvl="0" w:tentative="0">
      <w:start w:val="1"/>
      <w:numFmt w:val="decimal"/>
      <w:suff w:val="nothing"/>
      <w:lvlText w:val="%1、"/>
      <w:lvlJc w:val="left"/>
    </w:lvl>
  </w:abstractNum>
  <w:abstractNum w:abstractNumId="1">
    <w:nsid w:val="1E903CB0"/>
    <w:multiLevelType w:val="singleLevel"/>
    <w:tmpl w:val="1E903CB0"/>
    <w:lvl w:ilvl="0" w:tentative="0">
      <w:start w:val="1"/>
      <w:numFmt w:val="decimal"/>
      <w:suff w:val="nothing"/>
      <w:lvlText w:val="%1、"/>
      <w:lvlJc w:val="left"/>
    </w:lvl>
  </w:abstractNum>
  <w:abstractNum w:abstractNumId="2">
    <w:nsid w:val="4088809E"/>
    <w:multiLevelType w:val="singleLevel"/>
    <w:tmpl w:val="4088809E"/>
    <w:lvl w:ilvl="0" w:tentative="0">
      <w:start w:val="1"/>
      <w:numFmt w:val="decimal"/>
      <w:suff w:val="nothing"/>
      <w:lvlText w:val="%1、"/>
      <w:lvlJc w:val="left"/>
    </w:lvl>
  </w:abstractNum>
  <w:abstractNum w:abstractNumId="3">
    <w:nsid w:val="5FE90C7B"/>
    <w:multiLevelType w:val="singleLevel"/>
    <w:tmpl w:val="5FE90C7B"/>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yYWU3OWJmMjVhYWExMDJhYTQwZDkyZTU5MDY5NGIifQ=="/>
  </w:docVars>
  <w:rsids>
    <w:rsidRoot w:val="0EE5644F"/>
    <w:rsid w:val="003A46D0"/>
    <w:rsid w:val="004D65BA"/>
    <w:rsid w:val="006A6D8F"/>
    <w:rsid w:val="00731FC5"/>
    <w:rsid w:val="00A07D4F"/>
    <w:rsid w:val="06B31437"/>
    <w:rsid w:val="0EE5644F"/>
    <w:rsid w:val="10160B33"/>
    <w:rsid w:val="112E3B48"/>
    <w:rsid w:val="20786FF0"/>
    <w:rsid w:val="251123F0"/>
    <w:rsid w:val="2F1E6698"/>
    <w:rsid w:val="32A54885"/>
    <w:rsid w:val="3C9A74EF"/>
    <w:rsid w:val="53922E27"/>
    <w:rsid w:val="5CFB5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iPriority w:val="0"/>
    <w:pPr>
      <w:spacing w:before="100" w:beforeAutospacing="1" w:after="100" w:afterAutospacing="1"/>
      <w:jc w:val="left"/>
    </w:pPr>
    <w:rPr>
      <w:kern w:val="0"/>
      <w:sz w:val="24"/>
    </w:rPr>
  </w:style>
  <w:style w:type="character" w:styleId="7">
    <w:name w:val="Hyperlink"/>
    <w:basedOn w:val="6"/>
    <w:uiPriority w:val="0"/>
    <w:rPr>
      <w:color w:val="0000FF"/>
      <w:u w:val="single"/>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332</Words>
  <Characters>1897</Characters>
  <Lines>15</Lines>
  <Paragraphs>4</Paragraphs>
  <TotalTime>6</TotalTime>
  <ScaleCrop>false</ScaleCrop>
  <LinksUpToDate>false</LinksUpToDate>
  <CharactersWithSpaces>2225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2022-11-22T06:10:00Z</dcterms:created>
  <dc:creator>Administrator</dc:creator>
  <cp:lastModifiedBy>冰冰⊙▽⊙＊</cp:lastModifiedBy>
  <dcterms:modified xsi:type="dcterms:W3CDTF">2022-12-10T00:55:37Z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D65AABB096AA4AA1B265B95AADAD35A6</vt:lpwstr>
  </property>
</Properties>
</file>