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中国政法大学光明新闻传播学院</w:t>
      </w:r>
    </w:p>
    <w:p>
      <w:pPr>
        <w:spacing w:line="360" w:lineRule="auto"/>
        <w:jc w:val="center"/>
        <w:rPr>
          <w:rFonts w:hint="eastAsia" w:ascii="黑体" w:hAnsi="黑体" w:eastAsia="黑体"/>
          <w:b/>
          <w:sz w:val="36"/>
          <w:szCs w:val="36"/>
        </w:rPr>
      </w:pPr>
      <w:r>
        <w:rPr>
          <w:rFonts w:hint="eastAsia" w:ascii="黑体" w:hAnsi="黑体" w:eastAsia="黑体"/>
          <w:b/>
          <w:sz w:val="36"/>
          <w:szCs w:val="36"/>
        </w:rPr>
        <w:t>新闻传播学专业同等学力课程研修班招生简章</w:t>
      </w:r>
    </w:p>
    <w:p>
      <w:pPr>
        <w:spacing w:line="360" w:lineRule="auto"/>
        <w:jc w:val="center"/>
        <w:rPr>
          <w:rFonts w:hint="eastAsia" w:ascii="黑体" w:hAnsi="黑体" w:eastAsia="黑体"/>
          <w:b/>
          <w:sz w:val="36"/>
          <w:szCs w:val="36"/>
        </w:rPr>
      </w:pPr>
    </w:p>
    <w:p>
      <w:pPr>
        <w:spacing w:line="360" w:lineRule="auto"/>
        <w:rPr>
          <w:rFonts w:ascii="仿宋_GB2312" w:eastAsia="仿宋_GB2312"/>
          <w:b/>
          <w:sz w:val="28"/>
          <w:szCs w:val="28"/>
        </w:rPr>
      </w:pPr>
      <w:r>
        <w:rPr>
          <w:rFonts w:hint="eastAsia" w:ascii="仿宋_GB2312" w:eastAsia="仿宋_GB2312"/>
          <w:b/>
          <w:sz w:val="28"/>
          <w:szCs w:val="28"/>
        </w:rPr>
        <w:t>一、学校及学院简介</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中国政法大学是一所以法学为特色和优势，兼有文学、历史学、哲学、经济学、管理学、教育学、理学、工学等学科的“211工程”重点建设大学，“‘985工程’优势学科创新平台”、“2011计划”和“111计划”（高校学科创新引智计划）重点建设高校，国家“双一流”建设高校，直属于国家教育部，正致力于建设世界一流大学和一流学科。</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中国政法大学光明新闻传播学院成立于</w:t>
      </w:r>
      <w:r>
        <w:rPr>
          <w:rFonts w:ascii="仿宋_GB2312" w:eastAsia="仿宋_GB2312"/>
          <w:sz w:val="28"/>
          <w:szCs w:val="28"/>
        </w:rPr>
        <w:t>2008年7月，其前身是2002年6月成立的中国政法大学人文学院新闻系，2014年为落实“部校共建”，与光明日报社共建“光明新闻传播学院”。学院设有新闻学、网络与新媒体两个本科专业；拥有新闻传播学一级学科硕士学位授予权，下设新闻学、传播学两个专业，新闻学专业设有法治新闻、传播法与传播伦理、网络与新媒体三个研究方向，传播学专业设有政治传播、传媒与文化产业两个研究方向。学院拥有政治传播学二级学科博士学位授予权。是中宣部重点联系的十所新闻院校之一，是国内从事法治新闻、传播法、政治</w:t>
      </w:r>
      <w:r>
        <w:rPr>
          <w:rFonts w:hint="eastAsia" w:ascii="仿宋_GB2312" w:eastAsia="仿宋_GB2312"/>
          <w:sz w:val="28"/>
          <w:szCs w:val="28"/>
        </w:rPr>
        <w:t>传播、网络新媒体和网络治理研究的学术重镇。</w:t>
      </w:r>
    </w:p>
    <w:p>
      <w:pPr>
        <w:spacing w:line="360" w:lineRule="auto"/>
        <w:rPr>
          <w:rFonts w:ascii="仿宋_GB2312" w:eastAsia="仿宋_GB2312"/>
          <w:sz w:val="28"/>
          <w:szCs w:val="28"/>
        </w:rPr>
      </w:pPr>
      <w:r>
        <w:rPr>
          <w:rFonts w:hint="eastAsia" w:ascii="仿宋_GB2312" w:eastAsia="仿宋_GB2312"/>
          <w:sz w:val="28"/>
          <w:szCs w:val="28"/>
        </w:rPr>
        <w:t>二、项目性质</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同等学力研修班在性质上属非学历教育，完成课程学习者可获得中国政法大学同等学力研修班结业证书，符合条件者，可申请中国政法大学文学硕士学位。</w:t>
      </w:r>
    </w:p>
    <w:p>
      <w:pPr>
        <w:spacing w:line="360" w:lineRule="auto"/>
        <w:rPr>
          <w:rFonts w:ascii="仿宋_GB2312" w:eastAsia="仿宋_GB2312"/>
          <w:b/>
          <w:sz w:val="28"/>
          <w:szCs w:val="28"/>
        </w:rPr>
      </w:pPr>
      <w:r>
        <w:rPr>
          <w:rFonts w:hint="eastAsia" w:ascii="仿宋_GB2312" w:eastAsia="仿宋_GB2312"/>
          <w:b/>
          <w:sz w:val="28"/>
          <w:szCs w:val="28"/>
        </w:rPr>
        <w:t>三、学制与教学</w:t>
      </w:r>
    </w:p>
    <w:p>
      <w:pPr>
        <w:spacing w:line="360" w:lineRule="auto"/>
        <w:rPr>
          <w:rFonts w:ascii="仿宋_GB2312" w:eastAsia="仿宋_GB2312"/>
          <w:sz w:val="28"/>
          <w:szCs w:val="28"/>
        </w:rPr>
      </w:pPr>
      <w:r>
        <w:rPr>
          <w:rFonts w:hint="eastAsia" w:ascii="仿宋_GB2312" w:eastAsia="仿宋_GB2312"/>
          <w:sz w:val="28"/>
          <w:szCs w:val="28"/>
        </w:rPr>
        <w:t>1、学制两年，全国班和北京班。</w:t>
      </w:r>
    </w:p>
    <w:p>
      <w:pPr>
        <w:spacing w:line="360" w:lineRule="auto"/>
        <w:rPr>
          <w:rFonts w:ascii="仿宋_GB2312" w:eastAsia="仿宋_GB2312"/>
          <w:sz w:val="28"/>
          <w:szCs w:val="28"/>
        </w:rPr>
      </w:pPr>
      <w:r>
        <w:rPr>
          <w:rFonts w:hint="eastAsia" w:ascii="仿宋_GB2312" w:eastAsia="仿宋_GB2312"/>
          <w:sz w:val="28"/>
          <w:szCs w:val="28"/>
        </w:rPr>
        <w:t>2、全国班采用集中课堂面授与网络课堂相结合的方式，北京班采用周末面授与网络课堂相结合的方式。</w:t>
      </w:r>
    </w:p>
    <w:p>
      <w:pPr>
        <w:spacing w:line="360" w:lineRule="auto"/>
        <w:rPr>
          <w:rFonts w:ascii="仿宋_GB2312" w:eastAsia="仿宋_GB2312"/>
          <w:sz w:val="28"/>
          <w:szCs w:val="28"/>
        </w:rPr>
      </w:pPr>
      <w:r>
        <w:rPr>
          <w:rFonts w:hint="eastAsia" w:ascii="仿宋_GB2312" w:eastAsia="仿宋_GB2312"/>
          <w:sz w:val="28"/>
          <w:szCs w:val="28"/>
        </w:rPr>
        <w:t>3、考试方式：由学校组织考试或考核，形式分为闭卷考试、开卷考试、课程论文等，施行学分制，修满学分，准予结业。</w:t>
      </w:r>
    </w:p>
    <w:p>
      <w:pPr>
        <w:spacing w:line="360" w:lineRule="auto"/>
        <w:rPr>
          <w:rFonts w:ascii="仿宋_GB2312" w:eastAsia="仿宋_GB2312"/>
          <w:sz w:val="28"/>
          <w:szCs w:val="28"/>
        </w:rPr>
      </w:pPr>
      <w:r>
        <w:rPr>
          <w:rFonts w:ascii="仿宋_GB2312" w:eastAsia="仿宋_GB2312"/>
          <w:sz w:val="28"/>
          <w:szCs w:val="28"/>
        </w:rPr>
        <w:t>4、授课师资请查看学院官网</w:t>
      </w:r>
      <w:r>
        <w:rPr>
          <w:rFonts w:hint="eastAsia" w:ascii="仿宋_GB2312" w:eastAsia="仿宋_GB2312"/>
          <w:sz w:val="28"/>
          <w:szCs w:val="28"/>
        </w:rPr>
        <w:t>。</w:t>
      </w:r>
    </w:p>
    <w:p>
      <w:pPr>
        <w:spacing w:line="360" w:lineRule="auto"/>
        <w:rPr>
          <w:rFonts w:ascii="仿宋_GB2312" w:eastAsia="仿宋_GB2312"/>
          <w:b/>
          <w:sz w:val="28"/>
          <w:szCs w:val="28"/>
        </w:rPr>
      </w:pPr>
      <w:r>
        <w:rPr>
          <w:rFonts w:hint="eastAsia" w:ascii="仿宋_GB2312" w:eastAsia="仿宋_GB2312"/>
          <w:b/>
          <w:sz w:val="28"/>
          <w:szCs w:val="28"/>
        </w:rPr>
        <w:t>四、课程设置</w:t>
      </w:r>
    </w:p>
    <w:p>
      <w:pPr>
        <w:widowControl/>
        <w:ind w:firstLine="562" w:firstLineChars="200"/>
        <w:jc w:val="left"/>
        <w:rPr>
          <w:rFonts w:ascii="仿宋_GB2312" w:hAnsi="华光仿宋二_CNKI" w:eastAsia="仿宋_GB2312" w:cs="华光仿宋二_CNKI"/>
          <w:b/>
          <w:bCs/>
          <w:color w:val="000000" w:themeColor="text1"/>
          <w:sz w:val="28"/>
          <w:szCs w:val="28"/>
          <w14:textFill>
            <w14:solidFill>
              <w14:schemeClr w14:val="tx1"/>
            </w14:solidFill>
          </w14:textFill>
        </w:rPr>
      </w:pPr>
      <w:r>
        <w:rPr>
          <w:rFonts w:hint="eastAsia" w:ascii="仿宋_GB2312" w:hAnsi="华光仿宋二_CNKI" w:eastAsia="仿宋_GB2312" w:cs="华光仿宋二_CNKI"/>
          <w:b/>
          <w:bCs/>
          <w:color w:val="000000" w:themeColor="text1"/>
          <w:kern w:val="0"/>
          <w:sz w:val="28"/>
          <w:szCs w:val="28"/>
          <w:lang w:bidi="ar"/>
          <w14:textFill>
            <w14:solidFill>
              <w14:schemeClr w14:val="tx1"/>
            </w14:solidFill>
          </w14:textFill>
        </w:rPr>
        <w:t xml:space="preserve">（一）公共课 </w:t>
      </w:r>
    </w:p>
    <w:p>
      <w:pPr>
        <w:widowControl/>
        <w:ind w:firstLine="560" w:firstLineChars="200"/>
        <w:jc w:val="left"/>
        <w:rPr>
          <w:rFonts w:ascii="仿宋_GB2312" w:hAnsi="华光仿宋二_CNKI" w:eastAsia="仿宋_GB2312" w:cs="华光仿宋二_CNKI"/>
          <w:bCs/>
          <w:color w:val="000000" w:themeColor="text1"/>
          <w:kern w:val="0"/>
          <w:sz w:val="28"/>
          <w:szCs w:val="28"/>
          <w:lang w:bidi="ar"/>
          <w14:textFill>
            <w14:solidFill>
              <w14:schemeClr w14:val="tx1"/>
            </w14:solidFill>
          </w14:textFill>
        </w:rPr>
      </w:pPr>
      <w:r>
        <w:rPr>
          <w:rFonts w:hint="eastAsia" w:ascii="仿宋_GB2312" w:hAnsi="华光仿宋二_CNKI" w:eastAsia="仿宋_GB2312" w:cs="华光仿宋二_CNKI"/>
          <w:bCs/>
          <w:color w:val="000000" w:themeColor="text1"/>
          <w:kern w:val="0"/>
          <w:sz w:val="28"/>
          <w:szCs w:val="28"/>
          <w:lang w:bidi="ar"/>
          <w14:textFill>
            <w14:solidFill>
              <w14:schemeClr w14:val="tx1"/>
            </w14:solidFill>
          </w14:textFill>
        </w:rPr>
        <w:t>1、学位</w:t>
      </w:r>
      <w:r>
        <w:rPr>
          <w:rFonts w:hint="eastAsia" w:ascii="仿宋_GB2312" w:hAnsi="华光仿宋二_CNKI" w:eastAsia="仿宋_GB2312" w:cs="华光仿宋二_CNKI"/>
          <w:bCs/>
          <w:color w:val="000000" w:themeColor="text1"/>
          <w:kern w:val="0"/>
          <w:sz w:val="28"/>
          <w:szCs w:val="28"/>
          <w:lang w:eastAsia="zh-Hans" w:bidi="ar"/>
          <w14:textFill>
            <w14:solidFill>
              <w14:schemeClr w14:val="tx1"/>
            </w14:solidFill>
          </w14:textFill>
        </w:rPr>
        <w:t>公共</w:t>
      </w:r>
      <w:r>
        <w:rPr>
          <w:rFonts w:hint="eastAsia" w:ascii="仿宋_GB2312" w:hAnsi="华光仿宋二_CNKI" w:eastAsia="仿宋_GB2312" w:cs="华光仿宋二_CNKI"/>
          <w:bCs/>
          <w:color w:val="000000" w:themeColor="text1"/>
          <w:kern w:val="0"/>
          <w:sz w:val="28"/>
          <w:szCs w:val="28"/>
          <w:lang w:bidi="ar"/>
          <w14:textFill>
            <w14:solidFill>
              <w14:schemeClr w14:val="tx1"/>
            </w14:solidFill>
          </w14:textFill>
        </w:rPr>
        <w:t>课：英语、中国特色社会主义理论与实践、马克思主义与社会科学方法论、学术规范与论文写作。</w:t>
      </w:r>
    </w:p>
    <w:p>
      <w:pPr>
        <w:widowControl/>
        <w:ind w:firstLine="560" w:firstLineChars="200"/>
        <w:jc w:val="left"/>
        <w:rPr>
          <w:rFonts w:ascii="仿宋_GB2312" w:hAnsi="华光仿宋二_CNKI" w:eastAsia="仿宋_GB2312" w:cs="华光仿宋二_CNKI"/>
          <w:bCs/>
          <w:color w:val="000000" w:themeColor="text1"/>
          <w:sz w:val="28"/>
          <w:szCs w:val="28"/>
          <w14:textFill>
            <w14:solidFill>
              <w14:schemeClr w14:val="tx1"/>
            </w14:solidFill>
          </w14:textFill>
        </w:rPr>
      </w:pPr>
      <w:r>
        <w:rPr>
          <w:rFonts w:hint="eastAsia" w:ascii="仿宋_GB2312" w:hAnsi="华光仿宋二_CNKI" w:eastAsia="仿宋_GB2312" w:cs="华光仿宋二_CNKI"/>
          <w:bCs/>
          <w:color w:val="000000" w:themeColor="text1"/>
          <w:kern w:val="0"/>
          <w:sz w:val="28"/>
          <w:szCs w:val="28"/>
          <w:lang w:bidi="ar"/>
          <w14:textFill>
            <w14:solidFill>
              <w14:schemeClr w14:val="tx1"/>
            </w14:solidFill>
          </w14:textFill>
        </w:rPr>
        <w:t>2、</w:t>
      </w:r>
      <w:r>
        <w:rPr>
          <w:rFonts w:hint="eastAsia" w:ascii="仿宋_GB2312" w:hAnsi="华光仿宋二_CNKI" w:eastAsia="仿宋_GB2312" w:cs="华光仿宋二_CNKI"/>
          <w:bCs/>
          <w:color w:val="000000" w:themeColor="text1"/>
          <w:kern w:val="0"/>
          <w:sz w:val="28"/>
          <w:szCs w:val="28"/>
          <w:lang w:eastAsia="zh-Hans" w:bidi="ar"/>
          <w14:textFill>
            <w14:solidFill>
              <w14:schemeClr w14:val="tx1"/>
            </w14:solidFill>
          </w14:textFill>
        </w:rPr>
        <w:t>学位基础课：</w:t>
      </w:r>
      <w:r>
        <w:rPr>
          <w:rFonts w:hint="eastAsia" w:ascii="仿宋_GB2312" w:hAnsi="华光仿宋二_CNKI" w:eastAsia="仿宋_GB2312" w:cs="华光仿宋二_CNKI"/>
          <w:bCs/>
          <w:color w:val="000000" w:themeColor="text1"/>
          <w:kern w:val="0"/>
          <w:sz w:val="28"/>
          <w:szCs w:val="28"/>
          <w:lang w:bidi="ar"/>
          <w14:textFill>
            <w14:solidFill>
              <w14:schemeClr w14:val="tx1"/>
            </w14:solidFill>
          </w14:textFill>
        </w:rPr>
        <w:t xml:space="preserve"> 新闻学理论、传播理论研究、法治新闻传播实务、中外新闻传播史。 </w:t>
      </w:r>
    </w:p>
    <w:p>
      <w:pPr>
        <w:widowControl/>
        <w:ind w:firstLine="562" w:firstLineChars="200"/>
        <w:jc w:val="left"/>
        <w:rPr>
          <w:rFonts w:ascii="仿宋_GB2312" w:hAnsi="华光仿宋二_CNKI" w:eastAsia="仿宋_GB2312" w:cs="华光仿宋二_CNKI"/>
          <w:b/>
          <w:bCs/>
          <w:color w:val="000000" w:themeColor="text1"/>
          <w:sz w:val="28"/>
          <w:szCs w:val="28"/>
          <w14:textFill>
            <w14:solidFill>
              <w14:schemeClr w14:val="tx1"/>
            </w14:solidFill>
          </w14:textFill>
        </w:rPr>
      </w:pPr>
      <w:r>
        <w:rPr>
          <w:rFonts w:hint="eastAsia" w:ascii="仿宋_GB2312" w:hAnsi="华光仿宋二_CNKI" w:eastAsia="仿宋_GB2312" w:cs="华光仿宋二_CNKI"/>
          <w:b/>
          <w:bCs/>
          <w:color w:val="000000" w:themeColor="text1"/>
          <w:kern w:val="0"/>
          <w:sz w:val="28"/>
          <w:szCs w:val="28"/>
          <w:lang w:bidi="ar"/>
          <w14:textFill>
            <w14:solidFill>
              <w14:schemeClr w14:val="tx1"/>
            </w14:solidFill>
          </w14:textFill>
        </w:rPr>
        <w:t xml:space="preserve">（二）专业课 </w:t>
      </w:r>
    </w:p>
    <w:tbl>
      <w:tblPr>
        <w:tblStyle w:val="6"/>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380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widowControl/>
              <w:spacing w:line="360" w:lineRule="auto"/>
              <w:jc w:val="center"/>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专业（编码）</w:t>
            </w:r>
          </w:p>
        </w:tc>
        <w:tc>
          <w:tcPr>
            <w:tcW w:w="3805" w:type="dxa"/>
          </w:tcPr>
          <w:p>
            <w:pPr>
              <w:widowControl/>
              <w:spacing w:line="360" w:lineRule="auto"/>
              <w:jc w:val="center"/>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eastAsia="zh-Hans" w:bidi="ar"/>
                <w14:textFill>
                  <w14:solidFill>
                    <w14:schemeClr w14:val="tx1"/>
                  </w14:solidFill>
                </w14:textFill>
              </w:rPr>
              <w:t>专业共选课</w:t>
            </w:r>
          </w:p>
        </w:tc>
        <w:tc>
          <w:tcPr>
            <w:tcW w:w="2291" w:type="dxa"/>
          </w:tcPr>
          <w:p>
            <w:pPr>
              <w:widowControl/>
              <w:spacing w:line="360" w:lineRule="auto"/>
              <w:jc w:val="center"/>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专业选修课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1696" w:type="dxa"/>
          </w:tcPr>
          <w:p>
            <w:pPr>
              <w:widowControl/>
              <w:spacing w:line="360" w:lineRule="auto"/>
              <w:jc w:val="left"/>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 xml:space="preserve">新闻学 01 </w:t>
            </w:r>
          </w:p>
        </w:tc>
        <w:tc>
          <w:tcPr>
            <w:tcW w:w="3805" w:type="dxa"/>
          </w:tcPr>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r>
              <w:rPr>
                <w:rFonts w:hint="eastAsia" w:ascii="宋体" w:hAnsi="宋体" w:eastAsia="宋体" w:cs="华光仿宋二_CNKI"/>
                <w:bCs/>
                <w:color w:val="000000" w:themeColor="text1"/>
                <w:kern w:val="0"/>
                <w:sz w:val="21"/>
                <w:szCs w:val="21"/>
                <w:lang w:bidi="ar"/>
                <w14:textFill>
                  <w14:solidFill>
                    <w14:schemeClr w14:val="tx1"/>
                  </w14:solidFill>
                </w14:textFill>
              </w:rPr>
              <w:t>新闻采访与写作专题研究、新闻编辑与新闻评论、数字新闻实务、广播电视实务、案件报道专题研究、网络视频与创意制作、法治新闻实务、网络法专题研究、广告学、公共关系学</w:t>
            </w:r>
          </w:p>
        </w:tc>
        <w:tc>
          <w:tcPr>
            <w:tcW w:w="2291" w:type="dxa"/>
          </w:tcPr>
          <w:p>
            <w:pPr>
              <w:widowControl/>
              <w:spacing w:line="360" w:lineRule="auto"/>
              <w:jc w:val="left"/>
              <w:rPr>
                <w:rFonts w:ascii="宋体" w:hAnsi="宋体" w:eastAsia="宋体" w:cs="华光仿宋二_CNKI"/>
                <w:bCs/>
                <w:color w:val="000000" w:themeColor="text1"/>
                <w:kern w:val="0"/>
                <w:sz w:val="21"/>
                <w:szCs w:val="21"/>
                <w14:textFill>
                  <w14:solidFill>
                    <w14:schemeClr w14:val="tx1"/>
                  </w14:solidFill>
                </w14:textFill>
              </w:rPr>
            </w:pPr>
            <w:r>
              <w:rPr>
                <w:rFonts w:hint="eastAsia" w:ascii="宋体" w:hAnsi="宋体" w:eastAsia="宋体" w:cs="华光仿宋二_CNKI"/>
                <w:bCs/>
                <w:color w:val="000000" w:themeColor="text1"/>
                <w:kern w:val="0"/>
                <w:sz w:val="21"/>
                <w:szCs w:val="21"/>
                <w:lang w:bidi="ar"/>
                <w14:textFill>
                  <w14:solidFill>
                    <w14:schemeClr w14:val="tx1"/>
                  </w14:solidFill>
                </w14:textFill>
              </w:rPr>
              <w:t>新闻伦理专题研究、大数据专题研究、媒介经营与管理、传播社会学</w:t>
            </w:r>
          </w:p>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1696" w:type="dxa"/>
          </w:tcPr>
          <w:p>
            <w:pPr>
              <w:widowControl/>
              <w:spacing w:line="360" w:lineRule="auto"/>
              <w:jc w:val="left"/>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传播学02</w:t>
            </w:r>
          </w:p>
        </w:tc>
        <w:tc>
          <w:tcPr>
            <w:tcW w:w="3805" w:type="dxa"/>
          </w:tcPr>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r>
              <w:rPr>
                <w:rFonts w:hint="eastAsia" w:ascii="宋体" w:hAnsi="宋体" w:eastAsia="宋体" w:cs="华光仿宋二_CNKI"/>
                <w:color w:val="000000" w:themeColor="text1"/>
                <w:kern w:val="0"/>
                <w:sz w:val="21"/>
                <w:szCs w:val="21"/>
                <w:lang w:bidi="ar"/>
                <w14:textFill>
                  <w14:solidFill>
                    <w14:schemeClr w14:val="tx1"/>
                  </w14:solidFill>
                </w14:textFill>
              </w:rPr>
              <w:t xml:space="preserve">受众研究、传播社会学、传播心理学、网络法专题研究、传播伦理、网络舆情分析、大数据专题研究、危机传播与新闻发布、广告学、公共关系学 </w:t>
            </w:r>
          </w:p>
        </w:tc>
        <w:tc>
          <w:tcPr>
            <w:tcW w:w="2291" w:type="dxa"/>
          </w:tcPr>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r>
              <w:rPr>
                <w:rFonts w:hint="eastAsia" w:ascii="宋体" w:hAnsi="宋体" w:eastAsia="宋体" w:cs="华光仿宋二_CNKI"/>
                <w:color w:val="000000" w:themeColor="text1"/>
                <w:kern w:val="0"/>
                <w:sz w:val="21"/>
                <w:szCs w:val="21"/>
                <w:lang w:bidi="ar"/>
                <w14:textFill>
                  <w14:solidFill>
                    <w14:schemeClr w14:val="tx1"/>
                  </w14:solidFill>
                </w14:textFill>
              </w:rPr>
              <w:t>媒体经营与管理、文化产品创意与营销、政治传播学、 广告理论与实务、民法学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widowControl/>
              <w:spacing w:line="360" w:lineRule="auto"/>
              <w:jc w:val="left"/>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网络与新媒体 03</w:t>
            </w:r>
          </w:p>
        </w:tc>
        <w:tc>
          <w:tcPr>
            <w:tcW w:w="3805" w:type="dxa"/>
          </w:tcPr>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r>
              <w:rPr>
                <w:rFonts w:hint="eastAsia" w:ascii="宋体" w:hAnsi="宋体" w:eastAsia="宋体" w:cs="华光仿宋二_CNKI"/>
                <w:bCs/>
                <w:color w:val="000000" w:themeColor="text1"/>
                <w:kern w:val="0"/>
                <w:sz w:val="21"/>
                <w:szCs w:val="21"/>
                <w:lang w:bidi="ar"/>
                <w14:textFill>
                  <w14:solidFill>
                    <w14:schemeClr w14:val="tx1"/>
                  </w14:solidFill>
                </w14:textFill>
              </w:rPr>
              <w:t xml:space="preserve">网络法专题研究、新媒体营销与策划、新媒体运营与管理、移动媒体产品设计制作、网络视频制作、网络直播实务、网络编辑专题、大数据技术与应用、广告学、公共关系学 </w:t>
            </w:r>
          </w:p>
        </w:tc>
        <w:tc>
          <w:tcPr>
            <w:tcW w:w="2291" w:type="dxa"/>
          </w:tcPr>
          <w:p>
            <w:pPr>
              <w:widowControl/>
              <w:spacing w:line="360" w:lineRule="auto"/>
              <w:jc w:val="left"/>
              <w:rPr>
                <w:rFonts w:ascii="宋体" w:hAnsi="宋体" w:eastAsia="宋体" w:cs="华光仿宋二_CNKI"/>
                <w:bCs/>
                <w:color w:val="000000" w:themeColor="text1"/>
                <w:kern w:val="0"/>
                <w:sz w:val="21"/>
                <w:szCs w:val="21"/>
                <w14:textFill>
                  <w14:solidFill>
                    <w14:schemeClr w14:val="tx1"/>
                  </w14:solidFill>
                </w14:textFill>
              </w:rPr>
            </w:pPr>
            <w:r>
              <w:rPr>
                <w:rFonts w:hint="eastAsia" w:ascii="宋体" w:hAnsi="宋体" w:eastAsia="宋体" w:cs="华光仿宋二_CNKI"/>
                <w:bCs/>
                <w:color w:val="000000" w:themeColor="text1"/>
                <w:kern w:val="0"/>
                <w:sz w:val="21"/>
                <w:szCs w:val="21"/>
                <w:lang w:bidi="ar"/>
                <w14:textFill>
                  <w14:solidFill>
                    <w14:schemeClr w14:val="tx1"/>
                  </w14:solidFill>
                </w14:textFill>
              </w:rPr>
              <w:t>民法学、营销传播、平面媒体技术、网络媒体技术</w:t>
            </w:r>
          </w:p>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tcPr>
          <w:p>
            <w:pPr>
              <w:widowControl/>
              <w:spacing w:line="360" w:lineRule="auto"/>
              <w:jc w:val="left"/>
              <w:rPr>
                <w:rFonts w:ascii="宋体" w:hAnsi="宋体" w:eastAsia="宋体" w:cs="华光仿宋二_CNKI"/>
                <w:b/>
                <w:color w:val="000000" w:themeColor="text1"/>
                <w:kern w:val="0"/>
                <w:sz w:val="21"/>
                <w:szCs w:val="21"/>
                <w:lang w:bidi="ar"/>
                <w14:textFill>
                  <w14:solidFill>
                    <w14:schemeClr w14:val="tx1"/>
                  </w14:solidFill>
                </w14:textFill>
              </w:rPr>
            </w:pPr>
            <w:r>
              <w:rPr>
                <w:rFonts w:hint="eastAsia" w:ascii="宋体" w:hAnsi="宋体" w:eastAsia="宋体" w:cs="华光仿宋二_CNKI"/>
                <w:b/>
                <w:color w:val="000000" w:themeColor="text1"/>
                <w:kern w:val="0"/>
                <w:sz w:val="21"/>
                <w:szCs w:val="21"/>
                <w:lang w:bidi="ar"/>
                <w14:textFill>
                  <w14:solidFill>
                    <w14:schemeClr w14:val="tx1"/>
                  </w14:solidFill>
                </w14:textFill>
              </w:rPr>
              <w:t>广告学04</w:t>
            </w:r>
          </w:p>
        </w:tc>
        <w:tc>
          <w:tcPr>
            <w:tcW w:w="3805" w:type="dxa"/>
          </w:tcPr>
          <w:p>
            <w:pPr>
              <w:widowControl/>
              <w:spacing w:line="360" w:lineRule="auto"/>
              <w:jc w:val="left"/>
              <w:rPr>
                <w:rFonts w:ascii="宋体" w:hAnsi="宋体" w:eastAsia="宋体" w:cs="华光仿宋二_CNKI"/>
                <w:bCs/>
                <w:color w:val="000000" w:themeColor="text1"/>
                <w:kern w:val="0"/>
                <w:sz w:val="21"/>
                <w:szCs w:val="21"/>
                <w:lang w:bidi="ar"/>
                <w14:textFill>
                  <w14:solidFill>
                    <w14:schemeClr w14:val="tx1"/>
                  </w14:solidFill>
                </w14:textFill>
              </w:rPr>
            </w:pPr>
            <w:r>
              <w:rPr>
                <w:rFonts w:hint="eastAsia" w:ascii="宋体" w:hAnsi="宋体" w:eastAsia="宋体" w:cs="华光仿宋二_CNKI"/>
                <w:color w:val="000000" w:themeColor="text1"/>
                <w:kern w:val="0"/>
                <w:sz w:val="21"/>
                <w:szCs w:val="21"/>
                <w:lang w:bidi="ar"/>
                <w14:textFill>
                  <w14:solidFill>
                    <w14:schemeClr w14:val="tx1"/>
                  </w14:solidFill>
                </w14:textFill>
              </w:rPr>
              <w:t>广告学专题研究、广告史专题研究、广告策划与创意、广告</w:t>
            </w:r>
            <w:r>
              <w:rPr>
                <w:rFonts w:hint="eastAsia" w:ascii="Meiryo" w:hAnsi="Meiryo" w:eastAsia="Meiryo" w:cs="Meiryo"/>
                <w:color w:val="000000" w:themeColor="text1"/>
                <w:kern w:val="0"/>
                <w:sz w:val="21"/>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案写作、广告法专题研究、广告媒体研究、广告摄像与摄影、广告与市场调查、互联网广告与精准营销、公共关系学、广告效果评估</w:t>
            </w:r>
          </w:p>
        </w:tc>
        <w:tc>
          <w:tcPr>
            <w:tcW w:w="2291" w:type="dxa"/>
          </w:tcPr>
          <w:p>
            <w:pPr>
              <w:widowControl/>
              <w:spacing w:line="360" w:lineRule="auto"/>
              <w:jc w:val="left"/>
              <w:rPr>
                <w:rFonts w:ascii="宋体" w:hAnsi="宋体" w:eastAsia="宋体" w:cs="华光仿宋二_CNKI"/>
                <w:b/>
                <w:bCs/>
                <w:color w:val="000000" w:themeColor="text1"/>
                <w:kern w:val="0"/>
                <w:sz w:val="21"/>
                <w:szCs w:val="21"/>
                <w:lang w:bidi="ar"/>
                <w14:textFill>
                  <w14:solidFill>
                    <w14:schemeClr w14:val="tx1"/>
                  </w14:solidFill>
                </w14:textFill>
              </w:rPr>
            </w:pPr>
            <w:r>
              <w:rPr>
                <w:rFonts w:hint="eastAsia" w:ascii="宋体" w:hAnsi="宋体" w:eastAsia="宋体" w:cs="华光仿宋二_CNKI"/>
                <w:color w:val="000000" w:themeColor="text1"/>
                <w:kern w:val="0"/>
                <w:sz w:val="21"/>
                <w:szCs w:val="21"/>
                <w:lang w:bidi="ar"/>
                <w14:textFill>
                  <w14:solidFill>
                    <w14:schemeClr w14:val="tx1"/>
                  </w14:solidFill>
                </w14:textFill>
              </w:rPr>
              <w:t>整合营销传播、市场营销、实</w:t>
            </w:r>
            <w:r>
              <w:rPr>
                <w:rFonts w:hint="eastAsia" w:ascii="Meiryo" w:hAnsi="Meiryo" w:eastAsia="Meiryo" w:cs="Meiryo"/>
                <w:color w:val="000000" w:themeColor="text1"/>
                <w:kern w:val="0"/>
                <w:sz w:val="21"/>
                <w:szCs w:val="21"/>
                <w:lang w:bidi="ar"/>
                <w14:textFill>
                  <w14:solidFill>
                    <w14:schemeClr w14:val="tx1"/>
                  </w14:solidFill>
                </w14:textFill>
              </w:rPr>
              <w:t>⽤</w:t>
            </w:r>
            <w:r>
              <w:rPr>
                <w:rFonts w:hint="eastAsia" w:ascii="宋体" w:hAnsi="宋体" w:eastAsia="宋体" w:cs="宋体"/>
                <w:color w:val="000000" w:themeColor="text1"/>
                <w:kern w:val="0"/>
                <w:sz w:val="21"/>
                <w:szCs w:val="21"/>
                <w:lang w:bidi="ar"/>
                <w14:textFill>
                  <w14:solidFill>
                    <w14:schemeClr w14:val="tx1"/>
                  </w14:solidFill>
                </w14:textFill>
              </w:rPr>
              <w:t>美术与设计、电脑图文设计、中外广告案例研究</w:t>
            </w:r>
          </w:p>
        </w:tc>
      </w:tr>
    </w:tbl>
    <w:p>
      <w:pPr>
        <w:spacing w:line="360" w:lineRule="auto"/>
        <w:rPr>
          <w:rFonts w:ascii="仿宋_GB2312" w:eastAsia="仿宋_GB2312"/>
          <w:sz w:val="28"/>
          <w:szCs w:val="28"/>
        </w:rPr>
      </w:pPr>
      <w:r>
        <w:rPr>
          <w:rFonts w:hint="eastAsia" w:ascii="仿宋_GB2312" w:eastAsia="仿宋_GB2312"/>
          <w:sz w:val="28"/>
          <w:szCs w:val="28"/>
        </w:rPr>
        <w:t>注：学校可根据实际情况调整课程。授课方式以周末或假期授课为主，具体安排另行通知。</w:t>
      </w:r>
    </w:p>
    <w:p>
      <w:pPr>
        <w:spacing w:line="360" w:lineRule="auto"/>
        <w:rPr>
          <w:rFonts w:ascii="仿宋_GB2312" w:eastAsia="仿宋_GB2312"/>
          <w:b/>
          <w:sz w:val="28"/>
          <w:szCs w:val="28"/>
        </w:rPr>
      </w:pPr>
      <w:r>
        <w:rPr>
          <w:rFonts w:hint="eastAsia" w:ascii="仿宋_GB2312" w:eastAsia="仿宋_GB2312"/>
          <w:b/>
          <w:sz w:val="28"/>
          <w:szCs w:val="28"/>
        </w:rPr>
        <w:t>五、报名条件及报名材料</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1、拥护《中华人民共和国宪法》，遵纪守法，品行端正，身体健康。</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2、具有大专以上学历者，欲申请硕士学位者需具有本科学士学位。</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3、报名材料：报名表、身份证、最高学历和学位证复印件各1份，1 寸和2寸近期免冠蓝底照片各2张。</w:t>
      </w:r>
    </w:p>
    <w:p>
      <w:pPr>
        <w:spacing w:line="360" w:lineRule="auto"/>
        <w:ind w:left="283" w:leftChars="135"/>
        <w:rPr>
          <w:rFonts w:hint="eastAsia" w:ascii="仿宋_GB2312" w:eastAsia="仿宋_GB2312"/>
          <w:sz w:val="28"/>
          <w:szCs w:val="28"/>
        </w:rPr>
      </w:pPr>
      <w:r>
        <w:rPr>
          <w:rFonts w:hint="eastAsia" w:ascii="仿宋_GB2312" w:eastAsia="仿宋_GB2312"/>
          <w:b/>
          <w:sz w:val="28"/>
          <w:szCs w:val="28"/>
        </w:rPr>
        <w:t>重要知会：</w:t>
      </w:r>
      <w:r>
        <w:rPr>
          <w:rFonts w:hint="eastAsia" w:ascii="仿宋_GB2312" w:eastAsia="仿宋_GB2312"/>
          <w:sz w:val="28"/>
          <w:szCs w:val="28"/>
        </w:rPr>
        <w:t>交付学校审核的学历证书、学位证书、身份证等都是真实有效的，若因证书不真实造成后果，一切责任由本人自负。</w:t>
      </w:r>
    </w:p>
    <w:p>
      <w:pPr>
        <w:spacing w:line="360" w:lineRule="auto"/>
        <w:ind w:left="283" w:leftChars="135"/>
        <w:rPr>
          <w:rFonts w:hint="eastAsia" w:ascii="仿宋_GB2312" w:eastAsia="仿宋_GB2312"/>
          <w:sz w:val="28"/>
          <w:szCs w:val="28"/>
        </w:rPr>
      </w:pPr>
    </w:p>
    <w:p>
      <w:pPr>
        <w:spacing w:line="360" w:lineRule="auto"/>
        <w:ind w:left="283" w:leftChars="135"/>
        <w:rPr>
          <w:rFonts w:hint="eastAsia" w:ascii="仿宋_GB2312" w:eastAsia="仿宋_GB2312"/>
          <w:sz w:val="28"/>
          <w:szCs w:val="28"/>
        </w:rPr>
      </w:pPr>
    </w:p>
    <w:p>
      <w:pPr>
        <w:spacing w:line="360" w:lineRule="auto"/>
        <w:rPr>
          <w:rFonts w:ascii="仿宋_GB2312" w:eastAsia="仿宋_GB2312"/>
          <w:b/>
          <w:sz w:val="28"/>
          <w:szCs w:val="28"/>
        </w:rPr>
      </w:pPr>
      <w:r>
        <w:rPr>
          <w:rFonts w:hint="eastAsia" w:ascii="仿宋_GB2312" w:eastAsia="仿宋_GB2312"/>
          <w:b/>
          <w:sz w:val="28"/>
          <w:szCs w:val="28"/>
        </w:rPr>
        <w:t>六、申请硕士学位推荐专业</w:t>
      </w:r>
    </w:p>
    <w:tbl>
      <w:tblPr>
        <w:tblStyle w:val="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9F4"/>
        <w:tblLayout w:type="autofit"/>
        <w:tblCellMar>
          <w:top w:w="0" w:type="dxa"/>
          <w:left w:w="0" w:type="dxa"/>
          <w:bottom w:w="0" w:type="dxa"/>
          <w:right w:w="0" w:type="dxa"/>
        </w:tblCellMar>
      </w:tblPr>
      <w:tblGrid>
        <w:gridCol w:w="3025"/>
        <w:gridCol w:w="2759"/>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70" w:type="pct"/>
            <w:shd w:val="clear" w:color="auto" w:fill="FFFFFF"/>
            <w:tcMar>
              <w:top w:w="60" w:type="dxa"/>
              <w:left w:w="120" w:type="dxa"/>
              <w:bottom w:w="60" w:type="dxa"/>
              <w:right w:w="120" w:type="dxa"/>
            </w:tcMar>
            <w:vAlign w:val="center"/>
          </w:tcPr>
          <w:p>
            <w:pPr>
              <w:widowControl/>
              <w:wordWrap w:val="0"/>
              <w:jc w:val="center"/>
              <w:rPr>
                <w:rFonts w:ascii="宋体" w:hAnsi="宋体" w:eastAsia="宋体" w:cs="华光仿宋二_CNKI"/>
                <w:b/>
                <w:bCs/>
                <w:color w:val="000000" w:themeColor="text1"/>
                <w:spacing w:val="7"/>
                <w:szCs w:val="21"/>
                <w14:textFill>
                  <w14:solidFill>
                    <w14:schemeClr w14:val="tx1"/>
                  </w14:solidFill>
                </w14:textFill>
              </w:rPr>
            </w:pPr>
            <w:r>
              <w:rPr>
                <w:rFonts w:hint="eastAsia" w:ascii="宋体" w:hAnsi="宋体" w:eastAsia="宋体" w:cs="华光仿宋二_CNKI"/>
                <w:b/>
                <w:bCs/>
                <w:color w:val="000000" w:themeColor="text1"/>
                <w:spacing w:val="7"/>
                <w:kern w:val="0"/>
                <w:szCs w:val="21"/>
                <w:lang w:bidi="ar"/>
                <w14:textFill>
                  <w14:solidFill>
                    <w14:schemeClr w14:val="tx1"/>
                  </w14:solidFill>
                </w14:textFill>
              </w:rPr>
              <w:t>一级学科名称（代码）</w:t>
            </w:r>
          </w:p>
        </w:tc>
        <w:tc>
          <w:tcPr>
            <w:tcW w:w="1614" w:type="pct"/>
            <w:shd w:val="clear" w:color="auto" w:fill="FFFFFF"/>
            <w:tcMar>
              <w:top w:w="60" w:type="dxa"/>
              <w:left w:w="120" w:type="dxa"/>
              <w:bottom w:w="60" w:type="dxa"/>
              <w:right w:w="120" w:type="dxa"/>
            </w:tcMar>
            <w:vAlign w:val="center"/>
          </w:tcPr>
          <w:p>
            <w:pPr>
              <w:widowControl/>
              <w:wordWrap w:val="0"/>
              <w:jc w:val="center"/>
              <w:rPr>
                <w:rFonts w:ascii="宋体" w:hAnsi="宋体" w:eastAsia="宋体" w:cs="华光仿宋二_CNKI"/>
                <w:b/>
                <w:bCs/>
                <w:color w:val="000000" w:themeColor="text1"/>
                <w:spacing w:val="7"/>
                <w:kern w:val="0"/>
                <w:szCs w:val="21"/>
                <w:lang w:bidi="ar"/>
                <w14:textFill>
                  <w14:solidFill>
                    <w14:schemeClr w14:val="tx1"/>
                  </w14:solidFill>
                </w14:textFill>
              </w:rPr>
            </w:pPr>
            <w:r>
              <w:rPr>
                <w:rFonts w:hint="eastAsia" w:ascii="宋体" w:hAnsi="宋体" w:eastAsia="宋体" w:cs="华光仿宋二_CNKI"/>
                <w:b/>
                <w:bCs/>
                <w:color w:val="000000" w:themeColor="text1"/>
                <w:spacing w:val="7"/>
                <w:kern w:val="0"/>
                <w:szCs w:val="21"/>
                <w:lang w:bidi="ar"/>
                <w14:textFill>
                  <w14:solidFill>
                    <w14:schemeClr w14:val="tx1"/>
                  </w14:solidFill>
                </w14:textFill>
              </w:rPr>
              <w:t>二级学科名称</w:t>
            </w:r>
          </w:p>
        </w:tc>
        <w:tc>
          <w:tcPr>
            <w:tcW w:w="1614" w:type="pct"/>
            <w:shd w:val="clear" w:color="auto" w:fill="FFFFFF"/>
            <w:tcMar>
              <w:top w:w="60" w:type="dxa"/>
              <w:left w:w="120" w:type="dxa"/>
              <w:bottom w:w="60" w:type="dxa"/>
              <w:right w:w="120" w:type="dxa"/>
            </w:tcMar>
            <w:vAlign w:val="center"/>
          </w:tcPr>
          <w:p>
            <w:pPr>
              <w:widowControl/>
              <w:wordWrap w:val="0"/>
              <w:jc w:val="center"/>
              <w:rPr>
                <w:rFonts w:ascii="宋体" w:hAnsi="宋体" w:eastAsia="宋体" w:cs="华光仿宋二_CNKI"/>
                <w:b/>
                <w:bCs/>
                <w:color w:val="000000" w:themeColor="text1"/>
                <w:spacing w:val="7"/>
                <w:szCs w:val="21"/>
                <w14:textFill>
                  <w14:solidFill>
                    <w14:schemeClr w14:val="tx1"/>
                  </w14:solidFill>
                </w14:textFill>
              </w:rPr>
            </w:pPr>
            <w:r>
              <w:rPr>
                <w:rFonts w:hint="eastAsia" w:ascii="宋体" w:hAnsi="宋体" w:eastAsia="宋体" w:cs="华光仿宋二_CNKI"/>
                <w:b/>
                <w:bCs/>
                <w:color w:val="000000" w:themeColor="text1"/>
                <w:spacing w:val="7"/>
                <w:kern w:val="0"/>
                <w:szCs w:val="21"/>
                <w:lang w:bidi="ar"/>
                <w14:textFill>
                  <w14:solidFill>
                    <w14:schemeClr w14:val="tx1"/>
                  </w14:solidFill>
                </w14:textFill>
              </w:rPr>
              <w:t>是否按一级学科招生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9F4"/>
          <w:tblCellMar>
            <w:top w:w="0" w:type="dxa"/>
            <w:left w:w="0" w:type="dxa"/>
            <w:bottom w:w="0" w:type="dxa"/>
            <w:right w:w="0" w:type="dxa"/>
          </w:tblCellMar>
        </w:tblPrEx>
        <w:trPr>
          <w:jc w:val="center"/>
        </w:trPr>
        <w:tc>
          <w:tcPr>
            <w:tcW w:w="1770" w:type="pct"/>
            <w:vMerge w:val="restart"/>
            <w:shd w:val="clear" w:color="auto" w:fill="FFFFFF"/>
            <w:tcMar>
              <w:top w:w="60" w:type="dxa"/>
              <w:left w:w="60" w:type="dxa"/>
              <w:bottom w:w="60" w:type="dxa"/>
              <w:right w:w="60" w:type="dxa"/>
            </w:tcMar>
            <w:vAlign w:val="center"/>
          </w:tcPr>
          <w:p>
            <w:pPr>
              <w:pStyle w:val="4"/>
              <w:widowControl/>
              <w:wordWrap w:val="0"/>
              <w:spacing w:beforeAutospacing="0" w:afterAutospacing="0"/>
              <w:ind w:firstLine="448"/>
              <w:jc w:val="center"/>
              <w:rPr>
                <w:rFonts w:ascii="宋体" w:hAnsi="宋体" w:eastAsia="宋体" w:cs="华光仿宋二_CNKI"/>
                <w:color w:val="000000" w:themeColor="text1"/>
                <w:sz w:val="21"/>
                <w:szCs w:val="21"/>
                <w14:textFill>
                  <w14:solidFill>
                    <w14:schemeClr w14:val="tx1"/>
                  </w14:solidFill>
                </w14:textFill>
              </w:rPr>
            </w:pPr>
            <w:r>
              <w:rPr>
                <w:rFonts w:hint="eastAsia" w:ascii="宋体" w:hAnsi="宋体" w:eastAsia="宋体" w:cs="华光仿宋二_CNKI"/>
                <w:color w:val="000000" w:themeColor="text1"/>
                <w:spacing w:val="7"/>
                <w:sz w:val="21"/>
                <w:szCs w:val="21"/>
                <w14:textFill>
                  <w14:solidFill>
                    <w14:schemeClr w14:val="tx1"/>
                  </w14:solidFill>
                </w14:textFill>
              </w:rPr>
              <w:t>新闻传播学（</w:t>
            </w:r>
            <w:r>
              <w:rPr>
                <w:rFonts w:hint="eastAsia" w:ascii="宋体" w:hAnsi="宋体" w:eastAsia="宋体" w:cs="华光仿宋二_CNKI"/>
                <w:color w:val="000000" w:themeColor="text1"/>
                <w:spacing w:val="7"/>
                <w:sz w:val="21"/>
                <w:szCs w:val="21"/>
                <w:lang w:bidi="ar"/>
                <w14:textFill>
                  <w14:solidFill>
                    <w14:schemeClr w14:val="tx1"/>
                  </w14:solidFill>
                </w14:textFill>
              </w:rPr>
              <w:t>0503</w:t>
            </w:r>
            <w:r>
              <w:rPr>
                <w:rFonts w:hint="eastAsia" w:ascii="宋体" w:hAnsi="宋体" w:eastAsia="宋体" w:cs="华光仿宋二_CNKI"/>
                <w:color w:val="000000" w:themeColor="text1"/>
                <w:spacing w:val="7"/>
                <w:sz w:val="21"/>
                <w:szCs w:val="21"/>
                <w14:textFill>
                  <w14:solidFill>
                    <w14:schemeClr w14:val="tx1"/>
                  </w14:solidFill>
                </w14:textFill>
              </w:rPr>
              <w:t>）</w:t>
            </w:r>
          </w:p>
        </w:tc>
        <w:tc>
          <w:tcPr>
            <w:tcW w:w="1614" w:type="pct"/>
            <w:shd w:val="clear" w:color="auto" w:fill="FFFFFF"/>
            <w:tcMar>
              <w:top w:w="60" w:type="dxa"/>
              <w:left w:w="60" w:type="dxa"/>
              <w:bottom w:w="60" w:type="dxa"/>
              <w:right w:w="60" w:type="dxa"/>
            </w:tcMar>
            <w:vAlign w:val="center"/>
          </w:tcPr>
          <w:p>
            <w:pPr>
              <w:widowControl/>
              <w:wordWrap w:val="0"/>
              <w:jc w:val="center"/>
              <w:rPr>
                <w:rFonts w:ascii="宋体" w:hAnsi="宋体" w:eastAsia="宋体" w:cs="华光仿宋二_CNKI"/>
                <w:color w:val="000000" w:themeColor="text1"/>
                <w:spacing w:val="7"/>
                <w:kern w:val="0"/>
                <w:szCs w:val="21"/>
                <w:lang w:bidi="ar"/>
                <w14:textFill>
                  <w14:solidFill>
                    <w14:schemeClr w14:val="tx1"/>
                  </w14:solidFill>
                </w14:textFill>
              </w:rPr>
            </w:pPr>
            <w:r>
              <w:rPr>
                <w:rFonts w:hint="eastAsia" w:ascii="宋体" w:hAnsi="宋体" w:eastAsia="宋体" w:cs="华光仿宋二_CNKI"/>
                <w:color w:val="000000" w:themeColor="text1"/>
                <w:spacing w:val="7"/>
                <w:kern w:val="0"/>
                <w:szCs w:val="21"/>
                <w:lang w:bidi="ar"/>
                <w14:textFill>
                  <w14:solidFill>
                    <w14:schemeClr w14:val="tx1"/>
                  </w14:solidFill>
                </w14:textFill>
              </w:rPr>
              <w:t>01新闻学</w:t>
            </w:r>
          </w:p>
        </w:tc>
        <w:tc>
          <w:tcPr>
            <w:tcW w:w="1614" w:type="pct"/>
            <w:vMerge w:val="restart"/>
            <w:shd w:val="clear" w:color="auto" w:fill="FFFFFF"/>
            <w:tcMar>
              <w:top w:w="60" w:type="dxa"/>
              <w:left w:w="60" w:type="dxa"/>
              <w:bottom w:w="60" w:type="dxa"/>
              <w:right w:w="60" w:type="dxa"/>
            </w:tcMar>
            <w:vAlign w:val="center"/>
          </w:tcPr>
          <w:p>
            <w:pPr>
              <w:widowControl/>
              <w:wordWrap w:val="0"/>
              <w:jc w:val="center"/>
              <w:rPr>
                <w:rFonts w:ascii="宋体" w:hAnsi="宋体" w:eastAsia="宋体" w:cs="华光仿宋二_CNKI"/>
                <w:color w:val="000000" w:themeColor="text1"/>
                <w:spacing w:val="7"/>
                <w:szCs w:val="21"/>
                <w14:textFill>
                  <w14:solidFill>
                    <w14:schemeClr w14:val="tx1"/>
                  </w14:solidFill>
                </w14:textFill>
              </w:rPr>
            </w:pPr>
            <w:r>
              <w:rPr>
                <w:rFonts w:hint="eastAsia" w:ascii="宋体" w:hAnsi="宋体" w:eastAsia="宋体" w:cs="华光仿宋二_CNKI"/>
                <w:color w:val="000000" w:themeColor="text1"/>
                <w:spacing w:val="7"/>
                <w:kern w:val="0"/>
                <w:szCs w:val="21"/>
                <w:lang w:bidi="ar"/>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70" w:type="pct"/>
            <w:vMerge w:val="continue"/>
            <w:shd w:val="clear" w:color="auto" w:fill="FFFFFF"/>
            <w:tcMar>
              <w:top w:w="60" w:type="dxa"/>
              <w:left w:w="60" w:type="dxa"/>
              <w:bottom w:w="60" w:type="dxa"/>
              <w:right w:w="60" w:type="dxa"/>
            </w:tcMar>
            <w:vAlign w:val="center"/>
          </w:tcPr>
          <w:p>
            <w:pPr>
              <w:pStyle w:val="4"/>
              <w:widowControl/>
              <w:wordWrap w:val="0"/>
              <w:spacing w:beforeAutospacing="0" w:afterAutospacing="0"/>
              <w:ind w:firstLine="448"/>
              <w:jc w:val="center"/>
              <w:rPr>
                <w:rFonts w:ascii="华光仿宋二_CNKI" w:hAnsi="华光仿宋二_CNKI" w:eastAsia="华光仿宋二_CNKI" w:cs="华光仿宋二_CNKI"/>
                <w:color w:val="000000"/>
                <w:spacing w:val="7"/>
                <w:sz w:val="21"/>
                <w:szCs w:val="21"/>
              </w:rPr>
            </w:pPr>
          </w:p>
        </w:tc>
        <w:tc>
          <w:tcPr>
            <w:tcW w:w="1614" w:type="pct"/>
            <w:shd w:val="clear" w:color="auto" w:fill="FFFFFF"/>
            <w:tcMar>
              <w:top w:w="60" w:type="dxa"/>
              <w:left w:w="60" w:type="dxa"/>
              <w:bottom w:w="60" w:type="dxa"/>
              <w:right w:w="60" w:type="dxa"/>
            </w:tcMar>
            <w:vAlign w:val="center"/>
          </w:tcPr>
          <w:p>
            <w:pPr>
              <w:widowControl/>
              <w:wordWrap w:val="0"/>
              <w:jc w:val="center"/>
              <w:rPr>
                <w:rFonts w:ascii="宋体" w:hAnsi="宋体" w:eastAsia="宋体" w:cs="华光仿宋二_CNKI"/>
                <w:color w:val="000000"/>
                <w:spacing w:val="7"/>
                <w:kern w:val="0"/>
                <w:szCs w:val="21"/>
                <w:lang w:bidi="ar"/>
              </w:rPr>
            </w:pPr>
            <w:r>
              <w:rPr>
                <w:rFonts w:hint="eastAsia" w:ascii="宋体" w:hAnsi="宋体" w:eastAsia="宋体" w:cs="华光仿宋二_CNKI"/>
                <w:color w:val="000000"/>
                <w:spacing w:val="7"/>
                <w:kern w:val="0"/>
                <w:szCs w:val="21"/>
                <w:lang w:bidi="ar"/>
              </w:rPr>
              <w:t>02传播学</w:t>
            </w:r>
          </w:p>
        </w:tc>
        <w:tc>
          <w:tcPr>
            <w:tcW w:w="1614" w:type="pct"/>
            <w:vMerge w:val="continue"/>
            <w:shd w:val="clear" w:color="auto" w:fill="FFFFFF"/>
            <w:tcMar>
              <w:top w:w="60" w:type="dxa"/>
              <w:left w:w="60" w:type="dxa"/>
              <w:bottom w:w="60" w:type="dxa"/>
              <w:right w:w="60" w:type="dxa"/>
            </w:tcMar>
            <w:vAlign w:val="center"/>
          </w:tcPr>
          <w:p>
            <w:pPr>
              <w:widowControl/>
              <w:wordWrap w:val="0"/>
              <w:jc w:val="center"/>
              <w:rPr>
                <w:rFonts w:ascii="华光仿宋二_CNKI" w:hAnsi="华光仿宋二_CNKI" w:eastAsia="华光仿宋二_CNKI" w:cs="华光仿宋二_CNKI"/>
                <w:color w:val="000000"/>
                <w:spacing w:val="7"/>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9F4"/>
          <w:tblCellMar>
            <w:top w:w="0" w:type="dxa"/>
            <w:left w:w="0" w:type="dxa"/>
            <w:bottom w:w="0" w:type="dxa"/>
            <w:right w:w="0" w:type="dxa"/>
          </w:tblCellMar>
        </w:tblPrEx>
        <w:trPr>
          <w:jc w:val="center"/>
        </w:trPr>
        <w:tc>
          <w:tcPr>
            <w:tcW w:w="1770" w:type="pct"/>
            <w:vMerge w:val="continue"/>
            <w:shd w:val="clear" w:color="auto" w:fill="FFFFFF"/>
            <w:tcMar>
              <w:top w:w="60" w:type="dxa"/>
              <w:left w:w="60" w:type="dxa"/>
              <w:bottom w:w="60" w:type="dxa"/>
              <w:right w:w="60" w:type="dxa"/>
            </w:tcMar>
            <w:vAlign w:val="center"/>
          </w:tcPr>
          <w:p>
            <w:pPr>
              <w:pStyle w:val="4"/>
              <w:widowControl/>
              <w:wordWrap w:val="0"/>
              <w:spacing w:beforeAutospacing="0" w:afterAutospacing="0"/>
              <w:ind w:firstLine="448"/>
              <w:jc w:val="center"/>
              <w:rPr>
                <w:rFonts w:ascii="华光仿宋二_CNKI" w:hAnsi="华光仿宋二_CNKI" w:eastAsia="华光仿宋二_CNKI" w:cs="华光仿宋二_CNKI"/>
                <w:color w:val="000000"/>
                <w:spacing w:val="7"/>
                <w:sz w:val="21"/>
                <w:szCs w:val="21"/>
              </w:rPr>
            </w:pPr>
          </w:p>
        </w:tc>
        <w:tc>
          <w:tcPr>
            <w:tcW w:w="1614" w:type="pct"/>
            <w:shd w:val="clear" w:color="auto" w:fill="FFFFFF"/>
            <w:tcMar>
              <w:top w:w="60" w:type="dxa"/>
              <w:left w:w="60" w:type="dxa"/>
              <w:bottom w:w="60" w:type="dxa"/>
              <w:right w:w="60" w:type="dxa"/>
            </w:tcMar>
            <w:vAlign w:val="center"/>
          </w:tcPr>
          <w:p>
            <w:pPr>
              <w:widowControl/>
              <w:wordWrap w:val="0"/>
              <w:jc w:val="center"/>
              <w:rPr>
                <w:rFonts w:ascii="宋体" w:hAnsi="宋体" w:eastAsia="宋体" w:cs="华光仿宋二_CNKI"/>
                <w:color w:val="000000"/>
                <w:spacing w:val="7"/>
                <w:kern w:val="0"/>
                <w:szCs w:val="21"/>
                <w:lang w:bidi="ar"/>
              </w:rPr>
            </w:pPr>
            <w:r>
              <w:rPr>
                <w:rFonts w:hint="eastAsia" w:ascii="宋体" w:hAnsi="宋体" w:eastAsia="宋体" w:cs="华光仿宋二_CNKI"/>
                <w:color w:val="000000"/>
                <w:spacing w:val="7"/>
                <w:kern w:val="0"/>
                <w:szCs w:val="21"/>
                <w:lang w:bidi="ar"/>
              </w:rPr>
              <w:t>03网络与新媒体</w:t>
            </w:r>
          </w:p>
        </w:tc>
        <w:tc>
          <w:tcPr>
            <w:tcW w:w="1614" w:type="pct"/>
            <w:vMerge w:val="continue"/>
            <w:shd w:val="clear" w:color="auto" w:fill="FFFFFF"/>
            <w:tcMar>
              <w:top w:w="60" w:type="dxa"/>
              <w:left w:w="60" w:type="dxa"/>
              <w:bottom w:w="60" w:type="dxa"/>
              <w:right w:w="60" w:type="dxa"/>
            </w:tcMar>
            <w:vAlign w:val="center"/>
          </w:tcPr>
          <w:p>
            <w:pPr>
              <w:widowControl/>
              <w:wordWrap w:val="0"/>
              <w:jc w:val="center"/>
              <w:rPr>
                <w:rFonts w:ascii="华光仿宋二_CNKI" w:hAnsi="华光仿宋二_CNKI" w:eastAsia="华光仿宋二_CNKI" w:cs="华光仿宋二_CNKI"/>
                <w:color w:val="000000"/>
                <w:spacing w:val="7"/>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9F4"/>
          <w:tblCellMar>
            <w:top w:w="0" w:type="dxa"/>
            <w:left w:w="0" w:type="dxa"/>
            <w:bottom w:w="0" w:type="dxa"/>
            <w:right w:w="0" w:type="dxa"/>
          </w:tblCellMar>
        </w:tblPrEx>
        <w:trPr>
          <w:jc w:val="center"/>
        </w:trPr>
        <w:tc>
          <w:tcPr>
            <w:tcW w:w="1770" w:type="pct"/>
            <w:vMerge w:val="continue"/>
            <w:shd w:val="clear" w:color="auto" w:fill="FFFFFF"/>
            <w:tcMar>
              <w:top w:w="60" w:type="dxa"/>
              <w:left w:w="60" w:type="dxa"/>
              <w:bottom w:w="60" w:type="dxa"/>
              <w:right w:w="60" w:type="dxa"/>
            </w:tcMar>
            <w:vAlign w:val="center"/>
          </w:tcPr>
          <w:p>
            <w:pPr>
              <w:pStyle w:val="4"/>
              <w:widowControl/>
              <w:wordWrap w:val="0"/>
              <w:spacing w:beforeAutospacing="0" w:afterAutospacing="0"/>
              <w:ind w:firstLine="448"/>
              <w:jc w:val="center"/>
              <w:rPr>
                <w:rFonts w:ascii="华光仿宋二_CNKI" w:hAnsi="华光仿宋二_CNKI" w:eastAsia="华光仿宋二_CNKI" w:cs="华光仿宋二_CNKI"/>
                <w:color w:val="000000"/>
                <w:spacing w:val="7"/>
                <w:sz w:val="21"/>
                <w:szCs w:val="21"/>
              </w:rPr>
            </w:pPr>
          </w:p>
        </w:tc>
        <w:tc>
          <w:tcPr>
            <w:tcW w:w="1614" w:type="pct"/>
            <w:shd w:val="clear" w:color="auto" w:fill="FFFFFF"/>
            <w:tcMar>
              <w:top w:w="60" w:type="dxa"/>
              <w:left w:w="60" w:type="dxa"/>
              <w:bottom w:w="60" w:type="dxa"/>
              <w:right w:w="60" w:type="dxa"/>
            </w:tcMar>
            <w:vAlign w:val="center"/>
          </w:tcPr>
          <w:p>
            <w:pPr>
              <w:widowControl/>
              <w:wordWrap w:val="0"/>
              <w:jc w:val="center"/>
              <w:rPr>
                <w:rFonts w:ascii="宋体" w:hAnsi="宋体" w:eastAsia="宋体" w:cs="华光仿宋二_CNKI"/>
                <w:color w:val="000000"/>
                <w:spacing w:val="7"/>
                <w:kern w:val="0"/>
                <w:szCs w:val="21"/>
                <w:lang w:bidi="ar"/>
              </w:rPr>
            </w:pPr>
            <w:r>
              <w:rPr>
                <w:rFonts w:hint="eastAsia" w:ascii="宋体" w:hAnsi="宋体" w:eastAsia="宋体" w:cs="华光仿宋二_CNKI"/>
                <w:color w:val="000000"/>
                <w:spacing w:val="7"/>
                <w:kern w:val="0"/>
                <w:szCs w:val="21"/>
                <w:lang w:bidi="ar"/>
              </w:rPr>
              <w:t>04广告学</w:t>
            </w:r>
          </w:p>
        </w:tc>
        <w:tc>
          <w:tcPr>
            <w:tcW w:w="1614" w:type="pct"/>
            <w:vMerge w:val="continue"/>
            <w:shd w:val="clear" w:color="auto" w:fill="FFFFFF"/>
            <w:tcMar>
              <w:top w:w="60" w:type="dxa"/>
              <w:left w:w="60" w:type="dxa"/>
              <w:bottom w:w="60" w:type="dxa"/>
              <w:right w:w="60" w:type="dxa"/>
            </w:tcMar>
            <w:vAlign w:val="center"/>
          </w:tcPr>
          <w:p>
            <w:pPr>
              <w:widowControl/>
              <w:wordWrap w:val="0"/>
              <w:jc w:val="center"/>
              <w:rPr>
                <w:rFonts w:ascii="华光仿宋二_CNKI" w:hAnsi="华光仿宋二_CNKI" w:eastAsia="华光仿宋二_CNKI" w:cs="华光仿宋二_CNKI"/>
                <w:color w:val="000000"/>
                <w:spacing w:val="7"/>
                <w:kern w:val="0"/>
                <w:szCs w:val="21"/>
                <w:lang w:bidi="ar"/>
              </w:rPr>
            </w:pPr>
          </w:p>
        </w:tc>
      </w:tr>
    </w:tbl>
    <w:p>
      <w:pPr>
        <w:spacing w:line="360" w:lineRule="auto"/>
        <w:rPr>
          <w:rFonts w:ascii="仿宋_GB2312" w:eastAsia="仿宋_GB2312"/>
          <w:b/>
          <w:sz w:val="28"/>
          <w:szCs w:val="28"/>
        </w:rPr>
      </w:pPr>
      <w:r>
        <w:rPr>
          <w:rFonts w:hint="eastAsia" w:ascii="仿宋_GB2312" w:eastAsia="仿宋_GB2312"/>
          <w:b/>
          <w:sz w:val="28"/>
          <w:szCs w:val="28"/>
        </w:rPr>
        <w:t>七、申请硕士学位条件</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1、申请人必须是已获学士学位并工作三年以上，或已获硕士、博士学位。</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2、申请人在申请学位的专业或相近专业领域的公开出版物发表过科研成果。</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3、通过中国政法大学组织的同等学力人员申请硕士学位的学位课程考试。</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4、通过全国统一的同等学力人员申请硕士学位的外语考试和传播学管理综合课考试。</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5、资格审查合格后，申请人必须在五年内（资审通过之日起算）通过上述学位课考试与国家统考。</w:t>
      </w:r>
    </w:p>
    <w:p>
      <w:pPr>
        <w:spacing w:line="360" w:lineRule="auto"/>
        <w:rPr>
          <w:rFonts w:ascii="仿宋_GB2312" w:eastAsia="仿宋_GB2312"/>
          <w:b/>
          <w:sz w:val="28"/>
          <w:szCs w:val="28"/>
        </w:rPr>
      </w:pPr>
      <w:r>
        <w:rPr>
          <w:rFonts w:hint="eastAsia" w:ascii="仿宋_GB2312" w:eastAsia="仿宋_GB2312"/>
          <w:b/>
          <w:sz w:val="28"/>
          <w:szCs w:val="28"/>
        </w:rPr>
        <w:t>八、证书颁发与学位申请</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1、完成教学计划规定课程者，经学校考核合格后，颁发“中国政法大学同等学力研修班证书”（证书加盖学校钢印、校印、校长印）。</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2、符合本简章第七条学位申请条件的，可申请中国政法大学文学硕士学位，通过论文答辩者，可获得硕士学位证书。（本班与申请硕士学位无必然联系）</w:t>
      </w:r>
    </w:p>
    <w:p>
      <w:pPr>
        <w:spacing w:line="360" w:lineRule="auto"/>
        <w:rPr>
          <w:rFonts w:ascii="仿宋_GB2312" w:eastAsia="仿宋_GB2312"/>
          <w:b/>
          <w:sz w:val="28"/>
          <w:szCs w:val="28"/>
        </w:rPr>
      </w:pPr>
      <w:r>
        <w:rPr>
          <w:rFonts w:hint="eastAsia" w:ascii="仿宋_GB2312" w:eastAsia="仿宋_GB2312"/>
          <w:b/>
          <w:sz w:val="28"/>
          <w:szCs w:val="28"/>
        </w:rPr>
        <w:t>九、收费标准</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1、研修班培训费：</w:t>
      </w:r>
      <w:bookmarkStart w:id="0" w:name="_GoBack"/>
      <w:r>
        <w:rPr>
          <w:rFonts w:hint="eastAsia" w:ascii="仿宋_GB2312" w:eastAsia="仿宋_GB2312"/>
          <w:sz w:val="28"/>
          <w:szCs w:val="28"/>
        </w:rPr>
        <w:t>3</w:t>
      </w:r>
      <w:r>
        <w:rPr>
          <w:rFonts w:ascii="仿宋_GB2312" w:eastAsia="仿宋_GB2312"/>
          <w:sz w:val="28"/>
          <w:szCs w:val="28"/>
        </w:rPr>
        <w:t>2</w:t>
      </w:r>
      <w:r>
        <w:rPr>
          <w:rFonts w:hint="eastAsia" w:ascii="仿宋_GB2312" w:eastAsia="仿宋_GB2312"/>
          <w:sz w:val="28"/>
          <w:szCs w:val="28"/>
        </w:rPr>
        <w:t>800</w:t>
      </w:r>
      <w:bookmarkEnd w:id="0"/>
      <w:r>
        <w:rPr>
          <w:rFonts w:hint="eastAsia" w:ascii="仿宋_GB2312" w:eastAsia="仿宋_GB2312"/>
          <w:sz w:val="28"/>
          <w:szCs w:val="28"/>
        </w:rPr>
        <w:t>元（不含教材资料费），学员必须在入学前一次性交清，该部分培训费全部进入中国政法大学财务处账户，由学校财务处出具正式发票。</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2、申请硕士学位的费用：14000元（只对申请硕士学位的学员收取,并根据学员的学习进度进行缴纳）该部分培训费全部进入中国政法大学财务处账户，由学校财务处出具正式发票。</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3、研修班正式开课后，学员因故不能坚持进修，视作自动放弃学习，不予退费。</w:t>
      </w:r>
    </w:p>
    <w:p>
      <w:pPr>
        <w:spacing w:line="360" w:lineRule="auto"/>
        <w:rPr>
          <w:rFonts w:ascii="仿宋_GB2312" w:eastAsia="仿宋_GB2312"/>
          <w:b/>
          <w:sz w:val="28"/>
          <w:szCs w:val="28"/>
        </w:rPr>
      </w:pPr>
      <w:r>
        <w:rPr>
          <w:rFonts w:hint="eastAsia" w:ascii="仿宋_GB2312" w:eastAsia="仿宋_GB2312"/>
          <w:b/>
          <w:sz w:val="28"/>
          <w:szCs w:val="28"/>
        </w:rPr>
        <w:t>十、缴费方式</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1、向报名老师索取注册用户名及密码；</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2、使用获得的用户名、密码登录以下网址缴费（进入系统后可自行修改登录密码）；缴费网址：http://cwcwx.cupl.edu.cn/xysf/login.aspx?local=zh-cn</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3、点击菜单“其他费用”，勾选右侧方框，点击下一步；</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4、用微信扫描屏幕中二维码缴费（有些学员缴费会出现缴费限额问题，如您用储蓄卡支付，需在微信内绑定一类储蓄卡；如您使用信用卡支付，请联系发卡行调高刷卡额度即可）；</w:t>
      </w:r>
    </w:p>
    <w:p>
      <w:pPr>
        <w:spacing w:line="360" w:lineRule="auto"/>
        <w:ind w:left="703" w:leftChars="134" w:hanging="422" w:hangingChars="151"/>
        <w:rPr>
          <w:rFonts w:ascii="仿宋_GB2312" w:eastAsia="仿宋_GB2312"/>
          <w:sz w:val="28"/>
          <w:szCs w:val="28"/>
        </w:rPr>
      </w:pPr>
      <w:r>
        <w:rPr>
          <w:rFonts w:hint="eastAsia" w:ascii="仿宋_GB2312" w:eastAsia="仿宋_GB2312"/>
          <w:sz w:val="28"/>
          <w:szCs w:val="28"/>
        </w:rPr>
        <w:t>5、缴费成功后将屏幕截图发给招生老师，缴费环节完成。</w:t>
      </w:r>
    </w:p>
    <w:p>
      <w:pPr>
        <w:spacing w:line="360" w:lineRule="auto"/>
        <w:ind w:firstLine="282" w:firstLineChars="101"/>
        <w:rPr>
          <w:rFonts w:ascii="仿宋_GB2312"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光仿宋二_CNKI">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CF3C50" w:usb2="00000016" w:usb3="00000000" w:csb0="0004001F" w:csb1="00000000"/>
  </w:font>
  <w:font w:name="Meiryo">
    <w:altName w:val="Yu Gothic UI"/>
    <w:panose1 w:val="020B0604030504040204"/>
    <w:charset w:val="80"/>
    <w:family w:val="swiss"/>
    <w:pitch w:val="default"/>
    <w:sig w:usb0="00000000" w:usb1="00000000" w:usb2="00010012" w:usb3="00000000" w:csb0="6002009F" w:csb1="DFD70000"/>
  </w:font>
  <w:font w:name="Yu Gothic UI">
    <w:panose1 w:val="020B0500000000000000"/>
    <w:charset w:val="80"/>
    <w:family w:val="auto"/>
    <w:pitch w:val="default"/>
    <w:sig w:usb0="E00002FF" w:usb1="2AC7FDFF" w:usb2="00000016" w:usb3="00000000" w:csb0="2002009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yYWU3OWJmMjVhYWExMDJhYTQwZDkyZTU5MDY5NGIifQ=="/>
  </w:docVars>
  <w:rsids>
    <w:rsidRoot w:val="00E90C56"/>
    <w:rsid w:val="0002156E"/>
    <w:rsid w:val="00030B35"/>
    <w:rsid w:val="0056273B"/>
    <w:rsid w:val="00565452"/>
    <w:rsid w:val="005E13C9"/>
    <w:rsid w:val="007C588A"/>
    <w:rsid w:val="00845E0B"/>
    <w:rsid w:val="008760FF"/>
    <w:rsid w:val="008E5458"/>
    <w:rsid w:val="009F5C2A"/>
    <w:rsid w:val="00BF32DF"/>
    <w:rsid w:val="00CE5AF0"/>
    <w:rsid w:val="00E90C56"/>
    <w:rsid w:val="00F03240"/>
    <w:rsid w:val="04B93625"/>
    <w:rsid w:val="2F3466F0"/>
    <w:rsid w:val="40D3516B"/>
    <w:rsid w:val="4FC33D7E"/>
    <w:rsid w:val="79976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szCs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dayin"/>
    <w:basedOn w:val="1"/>
    <w:link w:val="10"/>
    <w:qFormat/>
    <w:uiPriority w:val="0"/>
    <w:pPr>
      <w:suppressAutoHyphens/>
      <w:ind w:firstLine="420" w:firstLineChars="200"/>
      <w:contextualSpacing/>
    </w:pPr>
    <w:rPr>
      <w:rFonts w:eastAsia="仿宋"/>
    </w:rPr>
  </w:style>
  <w:style w:type="character" w:customStyle="1" w:styleId="10">
    <w:name w:val="dayin 字符"/>
    <w:basedOn w:val="7"/>
    <w:link w:val="9"/>
    <w:uiPriority w:val="0"/>
    <w:rPr>
      <w:rFonts w:eastAsia="仿宋"/>
    </w:rPr>
  </w:style>
  <w:style w:type="character" w:customStyle="1" w:styleId="11">
    <w:name w:val="页眉 字符"/>
    <w:basedOn w:val="7"/>
    <w:link w:val="3"/>
    <w:uiPriority w:val="99"/>
    <w:rPr>
      <w:sz w:val="18"/>
      <w:szCs w:val="18"/>
    </w:rPr>
  </w:style>
  <w:style w:type="character" w:customStyle="1" w:styleId="12">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XiTongPan.Com</Company>
  <Pages>5</Pages>
  <Words>2238</Words>
  <Characters>2326</Characters>
  <Lines>19</Lines>
  <Paragraphs>5</Paragraphs>
  <TotalTime>152</TotalTime>
  <ScaleCrop>false</ScaleCrop>
  <LinksUpToDate>false</LinksUpToDate>
  <CharactersWithSpaces>2337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2022-08-15T03:15:00Z</dcterms:created>
  <dc:creator>Administrator</dc:creator>
  <cp:lastModifiedBy>冰冰⊙▽⊙＊</cp:lastModifiedBy>
  <dcterms:modified xsi:type="dcterms:W3CDTF">2022-09-28T07:28:14Z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DF2A642D63D54BFEB25F53B0682C5368</vt:lpwstr>
  </property>
</Properties>
</file>