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产业经济学</w:t>
      </w:r>
      <w:r>
        <w:rPr>
          <w:rFonts w:hint="eastAsia" w:ascii="微软雅黑" w:hAnsi="微软雅黑" w:eastAsia="微软雅黑" w:cs="微软雅黑"/>
          <w:b w:val="0"/>
          <w:bCs w:val="0"/>
          <w:i w:val="0"/>
          <w:iCs w:val="0"/>
          <w:caps w:val="0"/>
          <w:color w:val="000000"/>
          <w:spacing w:val="0"/>
          <w:shd w:val="clear" w:fill="FFFFFF"/>
        </w:rPr>
        <w:t>课程高级研修班招生简章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bookmarkStart w:id="0" w:name="_GoBack"/>
      <w:r>
        <w:rPr>
          <w:rFonts w:hint="eastAsia" w:ascii="宋体" w:hAnsi="宋体" w:eastAsia="宋体" w:cs="宋体"/>
          <w:i w:val="0"/>
          <w:iCs w:val="0"/>
          <w:caps w:val="0"/>
          <w:color w:val="4C4C4C"/>
          <w:spacing w:val="0"/>
          <w:sz w:val="27"/>
          <w:szCs w:val="27"/>
          <w:shd w:val="clear" w:fill="FFFFFF"/>
          <w:lang w:val="en-US"/>
        </w:rPr>
        <w:t>14000</w:t>
      </w:r>
      <w:bookmarkEnd w:id="0"/>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13362AEE"/>
    <w:rsid w:val="11DB2C26"/>
    <w:rsid w:val="1336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2022-09-20T05:45:00Z</dcterms:created>
  <dc:creator>郑芸凤</dc:creator>
  <cp:lastModifiedBy>冰冰⊙▽⊙＊</cp:lastModifiedBy>
  <dcterms:modified xsi:type="dcterms:W3CDTF">2022-09-23T06:08:15Z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68D289C887B8428F83B64D7095F2EF2E</vt:lpwstr>
  </property>
</Properties>
</file>