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inline distT="0" distB="0" distL="114300" distR="114300">
            <wp:extent cx="5270500" cy="1273810"/>
            <wp:effectExtent l="0" t="0" r="635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70500" cy="1273810"/>
                    </a:xfrm>
                    <a:prstGeom prst="rect">
                      <a:avLst/>
                    </a:prstGeom>
                    <a:noFill/>
                    <a:ln>
                      <a:noFill/>
                    </a:ln>
                  </pic:spPr>
                </pic:pic>
              </a:graphicData>
            </a:graphic>
          </wp:inline>
        </w:drawing>
      </w:r>
    </w:p>
    <w:p/>
    <w:p>
      <w:pPr>
        <w:pStyle w:val="4"/>
        <w:snapToGrid w:val="0"/>
        <w:spacing w:line="360" w:lineRule="auto"/>
        <w:contextualSpacing/>
        <w:jc w:val="center"/>
        <w:rPr>
          <w:rFonts w:hint="eastAsia" w:asciiTheme="majorEastAsia" w:hAnsiTheme="majorEastAsia" w:eastAsiaTheme="majorEastAsia"/>
          <w:b/>
          <w:sz w:val="36"/>
          <w:szCs w:val="36"/>
          <w:lang w:val="en-US" w:eastAsia="zh-CN"/>
        </w:rPr>
      </w:pPr>
      <w:r>
        <w:rPr>
          <w:rFonts w:hint="eastAsia" w:asciiTheme="majorEastAsia" w:hAnsiTheme="majorEastAsia" w:eastAsiaTheme="majorEastAsia"/>
          <w:b/>
          <w:sz w:val="36"/>
          <w:szCs w:val="36"/>
          <w:lang w:val="en-US" w:eastAsia="zh-CN"/>
        </w:rPr>
        <w:t>武汉轻工</w:t>
      </w:r>
      <w:r>
        <w:rPr>
          <w:rFonts w:asciiTheme="majorEastAsia" w:hAnsiTheme="majorEastAsia" w:eastAsiaTheme="majorEastAsia"/>
          <w:b/>
          <w:sz w:val="36"/>
          <w:szCs w:val="36"/>
        </w:rPr>
        <w:t>大学</w:t>
      </w:r>
      <w:r>
        <w:rPr>
          <w:rFonts w:hint="eastAsia" w:asciiTheme="majorEastAsia" w:hAnsiTheme="majorEastAsia" w:eastAsiaTheme="majorEastAsia"/>
          <w:b/>
          <w:sz w:val="36"/>
          <w:szCs w:val="36"/>
          <w:lang w:val="en-US" w:eastAsia="zh-CN"/>
        </w:rPr>
        <w:t>马克思主义理论同等学力</w:t>
      </w:r>
    </w:p>
    <w:p>
      <w:pPr>
        <w:pStyle w:val="4"/>
        <w:snapToGrid w:val="0"/>
        <w:spacing w:line="360" w:lineRule="auto"/>
        <w:contextualSpacing/>
        <w:jc w:val="center"/>
        <w:rPr>
          <w:rFonts w:hint="eastAsia" w:asciiTheme="majorEastAsia" w:hAnsiTheme="majorEastAsia" w:eastAsiaTheme="majorEastAsia"/>
          <w:b/>
          <w:sz w:val="36"/>
          <w:szCs w:val="36"/>
        </w:rPr>
      </w:pPr>
      <w:r>
        <w:rPr>
          <w:rFonts w:hint="eastAsia" w:asciiTheme="majorEastAsia" w:hAnsiTheme="majorEastAsia" w:eastAsiaTheme="majorEastAsia"/>
          <w:b/>
          <w:sz w:val="36"/>
          <w:szCs w:val="36"/>
          <w:lang w:val="en-US" w:eastAsia="zh-CN"/>
        </w:rPr>
        <w:t>申请硕士学位</w:t>
      </w:r>
      <w:r>
        <w:rPr>
          <w:rFonts w:asciiTheme="majorEastAsia" w:hAnsiTheme="majorEastAsia" w:eastAsiaTheme="majorEastAsia"/>
          <w:b/>
          <w:sz w:val="36"/>
          <w:szCs w:val="36"/>
        </w:rPr>
        <w:t>招生简章</w:t>
      </w:r>
      <w:r>
        <w:rPr>
          <w:rFonts w:hint="eastAsia" w:asciiTheme="majorEastAsia" w:hAnsiTheme="majorEastAsia" w:eastAsiaTheme="majorEastAsia"/>
          <w:b/>
          <w:sz w:val="36"/>
          <w:szCs w:val="36"/>
        </w:rPr>
        <w:t>.xx班</w:t>
      </w:r>
    </w:p>
    <w:p>
      <w:pPr>
        <w:pStyle w:val="4"/>
        <w:snapToGrid w:val="0"/>
        <w:spacing w:line="360" w:lineRule="auto"/>
        <w:ind w:left="2459" w:leftChars="100" w:hanging="2249" w:hangingChars="700"/>
        <w:contextualSpacing/>
        <w:jc w:val="center"/>
        <w:rPr>
          <w:rFonts w:hint="eastAsia" w:asciiTheme="majorEastAsia" w:hAnsiTheme="majorEastAsia" w:eastAsiaTheme="majorEastAsia"/>
          <w:b/>
          <w:sz w:val="32"/>
          <w:szCs w:val="32"/>
        </w:rPr>
      </w:pPr>
    </w:p>
    <w:p>
      <w:pPr>
        <w:pStyle w:val="4"/>
        <w:numPr>
          <w:ilvl w:val="0"/>
          <w:numId w:val="1"/>
        </w:numPr>
        <w:snapToGrid w:val="0"/>
        <w:spacing w:line="360" w:lineRule="auto"/>
        <w:contextualSpacing/>
        <w:rPr>
          <w:rFonts w:hint="eastAsia" w:asciiTheme="minorEastAsia" w:hAnsiTheme="minorEastAsia" w:eastAsiaTheme="minorEastAsia"/>
          <w:b/>
          <w:bCs/>
          <w:sz w:val="21"/>
          <w:szCs w:val="21"/>
          <w:lang w:val="en-US" w:eastAsia="zh-CN"/>
        </w:rPr>
      </w:pPr>
      <w:r>
        <w:rPr>
          <w:rFonts w:hint="eastAsia" w:asciiTheme="minorEastAsia" w:hAnsiTheme="minorEastAsia" w:eastAsiaTheme="minorEastAsia"/>
          <w:b/>
          <w:bCs/>
          <w:sz w:val="21"/>
          <w:szCs w:val="21"/>
          <w:lang w:val="en-US" w:eastAsia="zh-CN"/>
        </w:rPr>
        <w:t>院校简介：</w:t>
      </w:r>
    </w:p>
    <w:p>
      <w:pPr>
        <w:pStyle w:val="4"/>
        <w:keepNext w:val="0"/>
        <w:keepLines w:val="0"/>
        <w:pageBreakBefore w:val="0"/>
        <w:widowControl/>
        <w:numPr>
          <w:ilvl w:val="0"/>
          <w:numId w:val="0"/>
        </w:numPr>
        <w:kinsoku/>
        <w:wordWrap/>
        <w:overflowPunct/>
        <w:topLinePunct w:val="0"/>
        <w:autoSpaceDE/>
        <w:autoSpaceDN/>
        <w:bidi w:val="0"/>
        <w:adjustRightInd/>
        <w:snapToGrid w:val="0"/>
        <w:spacing w:before="100" w:beforeAutospacing="1" w:after="100" w:afterAutospacing="1" w:line="480" w:lineRule="auto"/>
        <w:ind w:firstLine="525" w:firstLineChars="250"/>
        <w:contextualSpacing/>
        <w:jc w:val="left"/>
        <w:textAlignment w:val="auto"/>
        <w:rPr>
          <w:rFonts w:hint="eastAsia" w:asciiTheme="minorEastAsia" w:hAnsiTheme="minorEastAsia" w:eastAsiaTheme="minorEastAsia"/>
          <w:b w:val="0"/>
          <w:bCs w:val="0"/>
          <w:sz w:val="21"/>
          <w:szCs w:val="21"/>
          <w:lang w:val="en-US" w:eastAsia="zh-CN"/>
        </w:rPr>
      </w:pPr>
      <w:r>
        <w:rPr>
          <w:rFonts w:hint="eastAsia" w:asciiTheme="minorEastAsia" w:hAnsiTheme="minorEastAsia" w:eastAsiaTheme="minorEastAsia"/>
          <w:b w:val="0"/>
          <w:bCs w:val="0"/>
          <w:sz w:val="21"/>
          <w:szCs w:val="21"/>
          <w:lang w:val="en-US" w:eastAsia="zh-CN"/>
        </w:rPr>
        <w:t>武汉轻工大学创建于1951年，位于有“九省通衢”之称的湖北省武汉市，是全国最早培养粮食行业专门人才的学校，先后隶属于原国家粮食部、商业部、国内贸易部，1998年实行中央和地方共建，以湖北省管理为主的管理体制，是国家粮食和物资储备局与湖北省人民政府共建高校、湖北省国内一流学科建设高校和湖北省第一批本科招生高校。</w:t>
      </w:r>
    </w:p>
    <w:p>
      <w:pPr>
        <w:pStyle w:val="4"/>
        <w:keepNext w:val="0"/>
        <w:keepLines w:val="0"/>
        <w:pageBreakBefore w:val="0"/>
        <w:widowControl/>
        <w:numPr>
          <w:ilvl w:val="0"/>
          <w:numId w:val="0"/>
        </w:numPr>
        <w:kinsoku/>
        <w:wordWrap/>
        <w:overflowPunct/>
        <w:topLinePunct w:val="0"/>
        <w:autoSpaceDE/>
        <w:autoSpaceDN/>
        <w:bidi w:val="0"/>
        <w:adjustRightInd/>
        <w:snapToGrid w:val="0"/>
        <w:spacing w:before="100" w:beforeAutospacing="1" w:after="100" w:afterAutospacing="1" w:line="480" w:lineRule="auto"/>
        <w:ind w:firstLine="525" w:firstLineChars="250"/>
        <w:contextualSpacing/>
        <w:jc w:val="left"/>
        <w:textAlignment w:val="auto"/>
        <w:rPr>
          <w:rFonts w:hint="eastAsia" w:asciiTheme="minorEastAsia" w:hAnsiTheme="minorEastAsia" w:eastAsiaTheme="minorEastAsia"/>
          <w:b w:val="0"/>
          <w:bCs w:val="0"/>
          <w:sz w:val="21"/>
          <w:szCs w:val="21"/>
          <w:lang w:val="en-US" w:eastAsia="zh-CN"/>
        </w:rPr>
      </w:pPr>
      <w:r>
        <w:rPr>
          <w:rFonts w:hint="eastAsia" w:asciiTheme="minorEastAsia" w:hAnsiTheme="minorEastAsia" w:eastAsiaTheme="minorEastAsia"/>
          <w:b w:val="0"/>
          <w:bCs w:val="0"/>
          <w:sz w:val="21"/>
          <w:szCs w:val="21"/>
          <w:lang w:val="en-US" w:eastAsia="zh-CN"/>
        </w:rPr>
        <w:t>学校坚持以学科建设为龙头，大力实施“特色兴校”战略。聚焦“大食品大营养大健康”领域，形成了以工学为主体，农学和管理学为两翼，工、农、管、理、文、经、医、艺、法等多学科协调发展的格局。现有一级学科硕士点13个，二级学科硕士点70个，交叉学科硕士点3个，硕士专业学位授权点11个类别（16个领域），其中 “国内一流学科”1个，湖北省优势特色学科群4个，“农业科学”进入ESI全球排名前1%；学校拥有国家级、省（部）级科技创新平台55个，其中国家级平台2个、省（部）级重点实验室4个。</w:t>
      </w:r>
    </w:p>
    <w:p>
      <w:pPr>
        <w:pStyle w:val="4"/>
        <w:keepNext w:val="0"/>
        <w:keepLines w:val="0"/>
        <w:pageBreakBefore w:val="0"/>
        <w:widowControl/>
        <w:numPr>
          <w:ilvl w:val="0"/>
          <w:numId w:val="0"/>
        </w:numPr>
        <w:kinsoku/>
        <w:wordWrap/>
        <w:overflowPunct/>
        <w:topLinePunct w:val="0"/>
        <w:autoSpaceDE/>
        <w:autoSpaceDN/>
        <w:bidi w:val="0"/>
        <w:adjustRightInd/>
        <w:snapToGrid w:val="0"/>
        <w:spacing w:before="100" w:beforeAutospacing="1" w:after="100" w:afterAutospacing="1" w:line="480" w:lineRule="auto"/>
        <w:ind w:firstLine="525" w:firstLineChars="250"/>
        <w:contextualSpacing/>
        <w:jc w:val="left"/>
        <w:textAlignment w:val="auto"/>
        <w:rPr>
          <w:rFonts w:hint="eastAsia" w:asciiTheme="minorEastAsia" w:hAnsiTheme="minorEastAsia" w:eastAsiaTheme="minorEastAsia"/>
          <w:b w:val="0"/>
          <w:bCs w:val="0"/>
          <w:sz w:val="21"/>
          <w:szCs w:val="21"/>
          <w:lang w:val="en-US" w:eastAsia="zh-CN"/>
        </w:rPr>
      </w:pPr>
      <w:r>
        <w:rPr>
          <w:rFonts w:hint="eastAsia" w:asciiTheme="minorEastAsia" w:hAnsiTheme="minorEastAsia" w:eastAsiaTheme="minorEastAsia"/>
          <w:b w:val="0"/>
          <w:bCs w:val="0"/>
          <w:sz w:val="21"/>
          <w:szCs w:val="21"/>
          <w:lang w:val="en-US" w:eastAsia="zh-CN"/>
        </w:rPr>
        <w:t>马克思主义学院承担着全校思想政治理论课的教学科研任务，充分发挥着思政课教学在对大学生进行思想政治教育工作中的主渠道和主阵地作用。学院长期重视思想政治理论课教育教学工作，承担的全校四门大学生思想政治理论课教学效果显著。现招收2022年现招收马克思主义理论专业研修课程培训班学员，为社会各界提供优秀硕士研究生专业人才。</w:t>
      </w:r>
    </w:p>
    <w:p>
      <w:pPr>
        <w:pStyle w:val="4"/>
        <w:keepNext w:val="0"/>
        <w:keepLines w:val="0"/>
        <w:pageBreakBefore w:val="0"/>
        <w:widowControl/>
        <w:numPr>
          <w:ilvl w:val="0"/>
          <w:numId w:val="0"/>
        </w:numPr>
        <w:kinsoku/>
        <w:wordWrap/>
        <w:overflowPunct/>
        <w:topLinePunct w:val="0"/>
        <w:autoSpaceDE/>
        <w:autoSpaceDN/>
        <w:bidi w:val="0"/>
        <w:adjustRightInd/>
        <w:snapToGrid w:val="0"/>
        <w:spacing w:before="100" w:beforeAutospacing="1" w:after="100" w:afterAutospacing="1" w:line="480" w:lineRule="auto"/>
        <w:ind w:firstLine="525" w:firstLineChars="250"/>
        <w:contextualSpacing/>
        <w:jc w:val="left"/>
        <w:textAlignment w:val="auto"/>
        <w:rPr>
          <w:rFonts w:hint="eastAsia" w:asciiTheme="minorEastAsia" w:hAnsiTheme="minorEastAsia" w:eastAsiaTheme="minorEastAsia"/>
          <w:b w:val="0"/>
          <w:bCs w:val="0"/>
          <w:sz w:val="21"/>
          <w:szCs w:val="21"/>
          <w:lang w:val="en-US" w:eastAsia="zh-CN"/>
        </w:rPr>
      </w:pPr>
    </w:p>
    <w:p>
      <w:pPr>
        <w:pStyle w:val="4"/>
        <w:keepNext w:val="0"/>
        <w:keepLines w:val="0"/>
        <w:pageBreakBefore w:val="0"/>
        <w:widowControl/>
        <w:numPr>
          <w:ilvl w:val="0"/>
          <w:numId w:val="0"/>
        </w:numPr>
        <w:kinsoku/>
        <w:wordWrap/>
        <w:overflowPunct/>
        <w:topLinePunct w:val="0"/>
        <w:autoSpaceDE/>
        <w:autoSpaceDN/>
        <w:bidi w:val="0"/>
        <w:adjustRightInd/>
        <w:snapToGrid w:val="0"/>
        <w:spacing w:before="100" w:beforeAutospacing="1" w:after="100" w:afterAutospacing="1" w:line="480" w:lineRule="auto"/>
        <w:ind w:firstLine="525" w:firstLineChars="250"/>
        <w:contextualSpacing/>
        <w:jc w:val="left"/>
        <w:textAlignment w:val="auto"/>
        <w:rPr>
          <w:rFonts w:hint="eastAsia" w:asciiTheme="minorEastAsia" w:hAnsiTheme="minorEastAsia" w:eastAsiaTheme="minorEastAsia"/>
          <w:b w:val="0"/>
          <w:bCs w:val="0"/>
          <w:sz w:val="21"/>
          <w:szCs w:val="21"/>
          <w:lang w:val="en-US" w:eastAsia="zh-CN"/>
        </w:rPr>
      </w:pPr>
    </w:p>
    <w:p>
      <w:pPr>
        <w:pStyle w:val="4"/>
        <w:numPr>
          <w:ilvl w:val="0"/>
          <w:numId w:val="1"/>
        </w:numPr>
        <w:snapToGrid w:val="0"/>
        <w:spacing w:line="360" w:lineRule="auto"/>
        <w:contextualSpacing/>
        <w:rPr>
          <w:rFonts w:hint="eastAsia" w:asciiTheme="minorEastAsia" w:hAnsiTheme="minorEastAsia" w:eastAsiaTheme="minorEastAsia"/>
          <w:b/>
          <w:bCs/>
          <w:sz w:val="21"/>
          <w:szCs w:val="21"/>
          <w:lang w:val="en-US" w:eastAsia="zh-CN"/>
        </w:rPr>
      </w:pPr>
      <w:r>
        <w:rPr>
          <w:rFonts w:hint="eastAsia" w:asciiTheme="minorEastAsia" w:hAnsiTheme="minorEastAsia" w:eastAsiaTheme="minorEastAsia"/>
          <w:b/>
          <w:bCs/>
          <w:sz w:val="21"/>
          <w:szCs w:val="21"/>
          <w:lang w:val="en-US" w:eastAsia="zh-CN"/>
        </w:rPr>
        <w:t>培养目标：</w:t>
      </w:r>
    </w:p>
    <w:p>
      <w:pPr>
        <w:pStyle w:val="4"/>
        <w:keepNext w:val="0"/>
        <w:keepLines w:val="0"/>
        <w:pageBreakBefore w:val="0"/>
        <w:widowControl/>
        <w:numPr>
          <w:ilvl w:val="0"/>
          <w:numId w:val="0"/>
        </w:numPr>
        <w:kinsoku/>
        <w:wordWrap/>
        <w:overflowPunct/>
        <w:topLinePunct w:val="0"/>
        <w:autoSpaceDE/>
        <w:autoSpaceDN/>
        <w:bidi w:val="0"/>
        <w:adjustRightInd/>
        <w:snapToGrid w:val="0"/>
        <w:spacing w:before="100" w:beforeAutospacing="1" w:after="100" w:afterAutospacing="1" w:line="480" w:lineRule="auto"/>
        <w:ind w:firstLine="316" w:firstLineChars="150"/>
        <w:contextualSpacing/>
        <w:jc w:val="left"/>
        <w:textAlignment w:val="auto"/>
        <w:rPr>
          <w:rFonts w:hint="default" w:asciiTheme="minorEastAsia" w:hAnsiTheme="minorEastAsia" w:eastAsiaTheme="minorEastAsia"/>
          <w:b w:val="0"/>
          <w:bCs w:val="0"/>
          <w:sz w:val="21"/>
          <w:szCs w:val="21"/>
          <w:lang w:val="en-US" w:eastAsia="zh-CN"/>
        </w:rPr>
      </w:pPr>
      <w:r>
        <w:rPr>
          <w:rFonts w:hint="eastAsia" w:asciiTheme="minorEastAsia" w:hAnsiTheme="minorEastAsia" w:eastAsiaTheme="minorEastAsia"/>
          <w:b/>
          <w:bCs/>
          <w:sz w:val="21"/>
          <w:szCs w:val="21"/>
          <w:lang w:val="en-US" w:eastAsia="zh-CN"/>
        </w:rPr>
        <w:t xml:space="preserve">   </w:t>
      </w:r>
      <w:r>
        <w:rPr>
          <w:rFonts w:hint="eastAsia" w:asciiTheme="minorEastAsia" w:hAnsiTheme="minorEastAsia" w:eastAsiaTheme="minorEastAsia"/>
          <w:b w:val="0"/>
          <w:bCs w:val="0"/>
          <w:sz w:val="21"/>
          <w:szCs w:val="21"/>
          <w:lang w:val="en-US" w:eastAsia="zh-CN"/>
        </w:rPr>
        <w:t>本专业主要通过学习和掌握马克思主义基本理论和中国特色社会主义理论体系，拥护党的基本路线、方针和政策，掌握本学科基础理论和系统的专业知识以及必要的实践技能，了解学科发展现状和动向，培养具有较高马克思主义理论功底，能够从事马克思主义理论教学、科研工作，能在本学科领域从事相关实际工作的高层次专门人才。</w:t>
      </w:r>
    </w:p>
    <w:p>
      <w:pPr>
        <w:pStyle w:val="4"/>
        <w:keepNext w:val="0"/>
        <w:keepLines w:val="0"/>
        <w:pageBreakBefore w:val="0"/>
        <w:widowControl/>
        <w:numPr>
          <w:ilvl w:val="0"/>
          <w:numId w:val="0"/>
        </w:numPr>
        <w:kinsoku/>
        <w:wordWrap/>
        <w:overflowPunct/>
        <w:topLinePunct w:val="0"/>
        <w:autoSpaceDE/>
        <w:autoSpaceDN/>
        <w:bidi w:val="0"/>
        <w:adjustRightInd/>
        <w:snapToGrid w:val="0"/>
        <w:spacing w:before="100" w:beforeAutospacing="1" w:after="100" w:afterAutospacing="1" w:line="480" w:lineRule="auto"/>
        <w:ind w:firstLine="315" w:firstLineChars="150"/>
        <w:contextualSpacing/>
        <w:jc w:val="left"/>
        <w:textAlignment w:val="auto"/>
        <w:rPr>
          <w:rFonts w:hint="eastAsia" w:asciiTheme="minorEastAsia" w:hAnsiTheme="minorEastAsia" w:eastAsiaTheme="minorEastAsia"/>
          <w:b w:val="0"/>
          <w:bCs w:val="0"/>
          <w:sz w:val="21"/>
          <w:szCs w:val="21"/>
          <w:lang w:val="en-US" w:eastAsia="zh-CN"/>
        </w:rPr>
      </w:pPr>
    </w:p>
    <w:p>
      <w:pPr>
        <w:pStyle w:val="4"/>
        <w:numPr>
          <w:ilvl w:val="0"/>
          <w:numId w:val="1"/>
        </w:numPr>
        <w:snapToGrid w:val="0"/>
        <w:spacing w:line="360" w:lineRule="auto"/>
        <w:contextualSpacing/>
        <w:rPr>
          <w:rFonts w:hint="eastAsia" w:asciiTheme="minorEastAsia" w:hAnsiTheme="minorEastAsia" w:eastAsiaTheme="minorEastAsia"/>
          <w:b/>
          <w:bCs/>
          <w:sz w:val="21"/>
          <w:szCs w:val="21"/>
          <w:lang w:val="en-US" w:eastAsia="zh-CN"/>
        </w:rPr>
      </w:pPr>
      <w:r>
        <w:rPr>
          <w:rFonts w:hint="eastAsia" w:asciiTheme="minorEastAsia" w:hAnsiTheme="minorEastAsia" w:eastAsiaTheme="minorEastAsia"/>
          <w:b/>
          <w:bCs/>
          <w:sz w:val="21"/>
          <w:szCs w:val="21"/>
          <w:lang w:val="en-US" w:eastAsia="zh-CN"/>
        </w:rPr>
        <w:t>培养优势：</w:t>
      </w:r>
    </w:p>
    <w:p>
      <w:pPr>
        <w:pStyle w:val="4"/>
        <w:numPr>
          <w:ilvl w:val="0"/>
          <w:numId w:val="2"/>
        </w:numPr>
        <w:snapToGrid w:val="0"/>
        <w:spacing w:line="360" w:lineRule="auto"/>
        <w:ind w:left="-212" w:leftChars="0" w:firstLine="422" w:firstLineChars="0"/>
        <w:contextualSpacing/>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b/>
          <w:bCs/>
          <w:sz w:val="21"/>
          <w:szCs w:val="21"/>
        </w:rPr>
        <w:t>免试入学</w:t>
      </w:r>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大专以上即可报名，</w:t>
      </w:r>
      <w:r>
        <w:rPr>
          <w:rFonts w:hint="eastAsia" w:asciiTheme="minorEastAsia" w:hAnsiTheme="minorEastAsia" w:eastAsiaTheme="minorEastAsia" w:cstheme="minorEastAsia"/>
          <w:sz w:val="21"/>
          <w:szCs w:val="21"/>
        </w:rPr>
        <w:t>先学习再考试，有足够充分的准备和学习课程的时间；</w:t>
      </w:r>
    </w:p>
    <w:p>
      <w:pPr>
        <w:pStyle w:val="4"/>
        <w:numPr>
          <w:ilvl w:val="0"/>
          <w:numId w:val="2"/>
        </w:numPr>
        <w:snapToGrid w:val="0"/>
        <w:spacing w:line="360" w:lineRule="auto"/>
        <w:ind w:left="-212" w:leftChars="0" w:firstLine="422" w:firstLineChars="0"/>
        <w:contextualSpacing/>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b/>
          <w:bCs/>
          <w:sz w:val="21"/>
          <w:szCs w:val="21"/>
          <w:lang w:val="en-US" w:eastAsia="zh-CN"/>
        </w:rPr>
        <w:t>学习方式灵活</w:t>
      </w:r>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sz w:val="21"/>
          <w:szCs w:val="21"/>
          <w:lang w:val="en-US" w:eastAsia="zh-CN"/>
        </w:rPr>
        <w:t>授课方式采用线上线下灵活教学方式，社会在职人员可以边学习边工作，灵活学习</w:t>
      </w:r>
      <w:r>
        <w:rPr>
          <w:rFonts w:hint="eastAsia" w:asciiTheme="minorEastAsia" w:hAnsiTheme="minorEastAsia" w:eastAsiaTheme="minorEastAsia" w:cstheme="minorEastAsia"/>
          <w:sz w:val="21"/>
          <w:szCs w:val="21"/>
        </w:rPr>
        <w:t>；</w:t>
      </w:r>
    </w:p>
    <w:p>
      <w:pPr>
        <w:pStyle w:val="4"/>
        <w:numPr>
          <w:ilvl w:val="0"/>
          <w:numId w:val="2"/>
        </w:numPr>
        <w:snapToGrid w:val="0"/>
        <w:spacing w:line="360" w:lineRule="auto"/>
        <w:ind w:left="-212" w:leftChars="0" w:firstLine="422" w:firstLineChars="0"/>
        <w:contextualSpacing/>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b/>
          <w:bCs/>
          <w:sz w:val="21"/>
          <w:szCs w:val="21"/>
        </w:rPr>
        <w:t>师资队伍</w:t>
      </w:r>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val="en-US" w:eastAsia="zh-CN"/>
        </w:rPr>
        <w:t>学校大力实施“人才强校”战略，形成了一支理想信念坚定、道德情操高尚、知识功底扎实、富有仁爱之心的教</w:t>
      </w:r>
      <w:r>
        <w:rPr>
          <w:rFonts w:hint="eastAsia" w:asciiTheme="minorEastAsia" w:hAnsiTheme="minorEastAsia" w:eastAsiaTheme="minorEastAsia" w:cstheme="minorEastAsia"/>
          <w:b w:val="0"/>
          <w:bCs w:val="0"/>
          <w:sz w:val="21"/>
          <w:szCs w:val="21"/>
          <w:lang w:val="en-US" w:eastAsia="zh-CN"/>
        </w:rPr>
        <w:t>师队</w:t>
      </w:r>
      <w:r>
        <w:rPr>
          <w:rFonts w:hint="eastAsia" w:asciiTheme="minorEastAsia" w:hAnsiTheme="minorEastAsia" w:eastAsiaTheme="minorEastAsia" w:cstheme="minorEastAsia"/>
          <w:sz w:val="21"/>
          <w:szCs w:val="21"/>
          <w:lang w:val="en-US" w:eastAsia="zh-CN"/>
        </w:rPr>
        <w:t>伍；</w:t>
      </w:r>
    </w:p>
    <w:p>
      <w:pPr>
        <w:pStyle w:val="4"/>
        <w:numPr>
          <w:ilvl w:val="0"/>
          <w:numId w:val="2"/>
        </w:numPr>
        <w:snapToGrid w:val="0"/>
        <w:spacing w:line="360" w:lineRule="auto"/>
        <w:ind w:left="-212" w:leftChars="0" w:firstLine="422" w:firstLineChars="0"/>
        <w:contextualSpacing/>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【弹性学制】</w:t>
      </w:r>
      <w:r>
        <w:rPr>
          <w:rFonts w:hint="eastAsia" w:asciiTheme="minorEastAsia" w:hAnsiTheme="minorEastAsia" w:eastAsiaTheme="minorEastAsia" w:cstheme="minorEastAsia"/>
          <w:b w:val="0"/>
          <w:bCs w:val="0"/>
          <w:sz w:val="21"/>
          <w:szCs w:val="21"/>
          <w:lang w:val="en-US" w:eastAsia="zh-CN"/>
        </w:rPr>
        <w:t>：完成课业安排，只要达到申硕条件者，可申请每年参加同等学力申硕考试；</w:t>
      </w:r>
    </w:p>
    <w:p>
      <w:pPr>
        <w:pStyle w:val="4"/>
        <w:numPr>
          <w:ilvl w:val="0"/>
          <w:numId w:val="2"/>
        </w:numPr>
        <w:snapToGrid w:val="0"/>
        <w:spacing w:line="360" w:lineRule="auto"/>
        <w:ind w:left="-212" w:leftChars="0" w:firstLine="422" w:firstLineChars="0"/>
        <w:contextualSpacing/>
        <w:rPr>
          <w:rFonts w:hint="eastAsia" w:asciiTheme="minorEastAsia" w:hAnsiTheme="minorEastAsia" w:eastAsiaTheme="minorEastAsia"/>
          <w:b/>
          <w:bCs/>
          <w:sz w:val="21"/>
          <w:szCs w:val="21"/>
          <w:lang w:val="en-US" w:eastAsia="zh-CN"/>
        </w:rPr>
      </w:pPr>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b/>
          <w:bCs/>
          <w:sz w:val="21"/>
          <w:szCs w:val="21"/>
          <w:lang w:val="en-US" w:eastAsia="zh-CN"/>
        </w:rPr>
        <w:t>结交高端人脉</w:t>
      </w:r>
      <w:r>
        <w:rPr>
          <w:rFonts w:hint="eastAsia" w:asciiTheme="minorEastAsia" w:hAnsiTheme="minorEastAsia" w:eastAsiaTheme="minorEastAsia" w:cstheme="minorEastAsia"/>
          <w:b/>
          <w:bCs/>
          <w:sz w:val="21"/>
          <w:szCs w:val="21"/>
          <w:lang w:eastAsia="zh-CN"/>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可享受与在校生同等的电子数据资源，获得校友人脉资源，结交高端人脉。</w:t>
      </w:r>
    </w:p>
    <w:p>
      <w:pPr>
        <w:pStyle w:val="4"/>
        <w:widowControl/>
        <w:numPr>
          <w:ilvl w:val="0"/>
          <w:numId w:val="0"/>
        </w:numPr>
        <w:snapToGrid w:val="0"/>
        <w:spacing w:before="100" w:beforeAutospacing="1" w:after="100" w:afterAutospacing="1" w:line="360" w:lineRule="auto"/>
        <w:contextualSpacing/>
        <w:jc w:val="left"/>
        <w:rPr>
          <w:rFonts w:hint="eastAsia" w:asciiTheme="minorEastAsia" w:hAnsiTheme="minorEastAsia" w:eastAsiaTheme="minorEastAsia"/>
          <w:b/>
          <w:bCs/>
          <w:sz w:val="21"/>
          <w:szCs w:val="21"/>
          <w:lang w:val="en-US" w:eastAsia="zh-CN"/>
        </w:rPr>
      </w:pPr>
    </w:p>
    <w:p>
      <w:pPr>
        <w:pStyle w:val="4"/>
        <w:numPr>
          <w:ilvl w:val="0"/>
          <w:numId w:val="1"/>
        </w:numPr>
        <w:snapToGrid w:val="0"/>
        <w:spacing w:line="360" w:lineRule="auto"/>
        <w:contextualSpacing/>
        <w:rPr>
          <w:rFonts w:hint="eastAsia" w:asciiTheme="minorEastAsia" w:hAnsiTheme="minorEastAsia" w:eastAsiaTheme="minorEastAsia"/>
          <w:b/>
          <w:bCs/>
          <w:sz w:val="21"/>
          <w:szCs w:val="21"/>
          <w:lang w:val="en-US" w:eastAsia="zh-CN"/>
        </w:rPr>
      </w:pPr>
      <w:r>
        <w:rPr>
          <w:rFonts w:hint="eastAsia" w:asciiTheme="minorEastAsia" w:hAnsiTheme="minorEastAsia" w:eastAsiaTheme="minorEastAsia"/>
          <w:b/>
          <w:bCs/>
          <w:sz w:val="21"/>
          <w:szCs w:val="21"/>
          <w:lang w:val="en-US" w:eastAsia="zh-CN"/>
        </w:rPr>
        <w:t>课程设置：</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3402"/>
        <w:gridCol w:w="3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522" w:type="dxa"/>
            <w:gridSpan w:val="3"/>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eastAsia" w:asciiTheme="minorEastAsia" w:hAnsiTheme="minorEastAsia" w:eastAsiaTheme="minorEastAsia" w:cstheme="minorEastAsia"/>
                <w:b/>
                <w:sz w:val="21"/>
                <w:szCs w:val="21"/>
              </w:rPr>
            </w:pPr>
            <w:r>
              <w:rPr>
                <w:rFonts w:hint="eastAsia" w:asciiTheme="minorEastAsia" w:hAnsiTheme="minorEastAsia" w:cstheme="minorEastAsia"/>
                <w:b/>
                <w:sz w:val="21"/>
                <w:szCs w:val="21"/>
                <w:lang w:val="en-US" w:eastAsia="zh-CN"/>
              </w:rPr>
              <w:t>马克思主义理论</w:t>
            </w:r>
            <w:r>
              <w:rPr>
                <w:rFonts w:hint="eastAsia" w:asciiTheme="minorEastAsia" w:hAnsiTheme="minorEastAsia" w:eastAsiaTheme="minorEastAsia" w:cstheme="minorEastAsia"/>
                <w:b/>
                <w:sz w:val="21"/>
                <w:szCs w:val="21"/>
              </w:rPr>
              <w:t>专业课程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restart"/>
            <w:vAlign w:val="center"/>
          </w:tcPr>
          <w:p>
            <w:pPr>
              <w:keepNext w:val="0"/>
              <w:keepLines w:val="0"/>
              <w:pageBreakBefore w:val="0"/>
              <w:kinsoku/>
              <w:wordWrap/>
              <w:overflowPunct/>
              <w:topLinePunct w:val="0"/>
              <w:autoSpaceDE/>
              <w:autoSpaceDN/>
              <w:bidi w:val="0"/>
              <w:adjustRightInd/>
              <w:spacing w:beforeAutospacing="0" w:afterAutospacing="0" w:line="360" w:lineRule="auto"/>
              <w:ind w:firstLine="422" w:firstLineChars="200"/>
              <w:contextualSpacing/>
              <w:jc w:val="both"/>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b/>
                <w:bCs/>
                <w:sz w:val="21"/>
                <w:szCs w:val="21"/>
                <w:lang w:val="en-US" w:eastAsia="zh-CN"/>
              </w:rPr>
              <w:t>公共学位课</w:t>
            </w:r>
          </w:p>
        </w:tc>
        <w:tc>
          <w:tcPr>
            <w:tcW w:w="3402"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中国特色社会主义理论与实践</w:t>
            </w:r>
          </w:p>
        </w:tc>
        <w:tc>
          <w:tcPr>
            <w:tcW w:w="3311"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基础</w:t>
            </w:r>
            <w:r>
              <w:rPr>
                <w:rFonts w:hint="eastAsia" w:asciiTheme="minorEastAsia" w:hAnsiTheme="minorEastAsia" w:eastAsiaTheme="minorEastAsia" w:cstheme="minorEastAsia"/>
                <w:sz w:val="21"/>
                <w:szCs w:val="21"/>
                <w:lang w:val="en-US" w:eastAsia="zh-CN"/>
              </w:rPr>
              <w:t>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eastAsia" w:asciiTheme="minorEastAsia" w:hAnsiTheme="minorEastAsia" w:cstheme="minorEastAsia"/>
                <w:sz w:val="21"/>
                <w:szCs w:val="21"/>
                <w:lang w:val="en-US" w:eastAsia="zh-CN"/>
              </w:rPr>
            </w:pPr>
          </w:p>
        </w:tc>
        <w:tc>
          <w:tcPr>
            <w:tcW w:w="3402"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马克思主义与社会科学方法论</w:t>
            </w:r>
          </w:p>
        </w:tc>
        <w:tc>
          <w:tcPr>
            <w:tcW w:w="3311"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专业英语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809" w:type="dxa"/>
            <w:vMerge w:val="restart"/>
            <w:vAlign w:val="center"/>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b/>
                <w:bCs/>
                <w:sz w:val="21"/>
                <w:szCs w:val="21"/>
                <w:lang w:val="en-US" w:eastAsia="zh-CN"/>
              </w:rPr>
              <w:t>必修课</w:t>
            </w:r>
          </w:p>
        </w:tc>
        <w:tc>
          <w:tcPr>
            <w:tcW w:w="3402"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马克思主义理论及其时代发展</w:t>
            </w:r>
          </w:p>
        </w:tc>
        <w:tc>
          <w:tcPr>
            <w:tcW w:w="3311"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思想政治教育学原理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eastAsia" w:asciiTheme="minorEastAsia" w:hAnsiTheme="minorEastAsia" w:cstheme="minorEastAsia"/>
                <w:sz w:val="21"/>
                <w:szCs w:val="21"/>
                <w:lang w:val="en-US" w:eastAsia="zh-CN"/>
              </w:rPr>
            </w:pPr>
          </w:p>
        </w:tc>
        <w:tc>
          <w:tcPr>
            <w:tcW w:w="3402"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国外马克思主义专题</w:t>
            </w:r>
          </w:p>
        </w:tc>
        <w:tc>
          <w:tcPr>
            <w:tcW w:w="3311"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马克思主义经典著作选读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809" w:type="dxa"/>
            <w:vMerge w:val="continue"/>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eastAsia" w:asciiTheme="minorEastAsia" w:hAnsiTheme="minorEastAsia" w:cstheme="minorEastAsia"/>
                <w:sz w:val="21"/>
                <w:szCs w:val="21"/>
                <w:lang w:val="en-US" w:eastAsia="zh-CN"/>
              </w:rPr>
            </w:pPr>
          </w:p>
        </w:tc>
        <w:tc>
          <w:tcPr>
            <w:tcW w:w="3402"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社会主义经济理论专题研究</w:t>
            </w:r>
          </w:p>
        </w:tc>
        <w:tc>
          <w:tcPr>
            <w:tcW w:w="3311"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社会心理学专题研究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restart"/>
            <w:vAlign w:val="center"/>
          </w:tcPr>
          <w:p>
            <w:pPr>
              <w:keepNext w:val="0"/>
              <w:keepLines w:val="0"/>
              <w:pageBreakBefore w:val="0"/>
              <w:kinsoku/>
              <w:wordWrap/>
              <w:overflowPunct/>
              <w:topLinePunct w:val="0"/>
              <w:autoSpaceDE/>
              <w:autoSpaceDN/>
              <w:bidi w:val="0"/>
              <w:adjustRightInd/>
              <w:spacing w:beforeAutospacing="0" w:afterAutospacing="0" w:line="360" w:lineRule="auto"/>
              <w:ind w:firstLine="422" w:firstLineChars="200"/>
              <w:contextualSpacing/>
              <w:jc w:val="both"/>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b/>
                <w:bCs/>
                <w:sz w:val="21"/>
                <w:szCs w:val="21"/>
                <w:lang w:val="en-US" w:eastAsia="zh-CN"/>
              </w:rPr>
              <w:t>选修课</w:t>
            </w:r>
          </w:p>
        </w:tc>
        <w:tc>
          <w:tcPr>
            <w:tcW w:w="3402"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当代西方社会思潮专题</w:t>
            </w:r>
          </w:p>
        </w:tc>
        <w:tc>
          <w:tcPr>
            <w:tcW w:w="3311"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中国传统文化专题研究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eastAsia" w:asciiTheme="minorEastAsia" w:hAnsiTheme="minorEastAsia" w:cstheme="minorEastAsia"/>
                <w:sz w:val="21"/>
                <w:szCs w:val="21"/>
                <w:lang w:val="en-US" w:eastAsia="zh-CN"/>
              </w:rPr>
            </w:pPr>
          </w:p>
        </w:tc>
        <w:tc>
          <w:tcPr>
            <w:tcW w:w="3402"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领导科学专题研究</w:t>
            </w:r>
          </w:p>
        </w:tc>
        <w:tc>
          <w:tcPr>
            <w:tcW w:w="3311"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伦理学专题研究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809" w:type="dxa"/>
            <w:vMerge w:val="continue"/>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eastAsia" w:asciiTheme="minorEastAsia" w:hAnsiTheme="minorEastAsia" w:cstheme="minorEastAsia"/>
                <w:sz w:val="21"/>
                <w:szCs w:val="21"/>
                <w:lang w:val="en-US" w:eastAsia="zh-CN"/>
              </w:rPr>
            </w:pPr>
          </w:p>
        </w:tc>
        <w:tc>
          <w:tcPr>
            <w:tcW w:w="3402"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中国农村改革与发展专题研究</w:t>
            </w:r>
          </w:p>
        </w:tc>
        <w:tc>
          <w:tcPr>
            <w:tcW w:w="3311" w:type="dxa"/>
          </w:tcPr>
          <w:p>
            <w:pPr>
              <w:keepNext w:val="0"/>
              <w:keepLines w:val="0"/>
              <w:pageBreakBefore w:val="0"/>
              <w:kinsoku/>
              <w:wordWrap/>
              <w:overflowPunct/>
              <w:topLinePunct w:val="0"/>
              <w:autoSpaceDE/>
              <w:autoSpaceDN/>
              <w:bidi w:val="0"/>
              <w:adjustRightInd/>
              <w:spacing w:beforeAutospacing="0" w:afterAutospacing="0" w:line="360" w:lineRule="auto"/>
              <w:contextualSpacing/>
              <w:jc w:val="center"/>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国学概论</w:t>
            </w:r>
          </w:p>
        </w:tc>
      </w:tr>
    </w:tbl>
    <w:p>
      <w:pPr>
        <w:pStyle w:val="4"/>
        <w:keepNext w:val="0"/>
        <w:keepLines w:val="0"/>
        <w:pageBreakBefore w:val="0"/>
        <w:kinsoku/>
        <w:wordWrap/>
        <w:overflowPunct/>
        <w:topLinePunct w:val="0"/>
        <w:autoSpaceDE/>
        <w:autoSpaceDN/>
        <w:bidi w:val="0"/>
        <w:adjustRightInd/>
        <w:snapToGrid w:val="0"/>
        <w:spacing w:beforeAutospacing="0" w:afterAutospacing="0" w:line="360" w:lineRule="auto"/>
        <w:contextualSpacing/>
        <w:jc w:val="center"/>
        <w:textAlignment w:val="auto"/>
        <w:rPr>
          <w:rFonts w:hint="eastAsia" w:asciiTheme="minorEastAsia" w:hAnsiTheme="minorEastAsia" w:eastAsiaTheme="minorEastAsia" w:cstheme="minorEastAsia"/>
          <w:sz w:val="21"/>
          <w:szCs w:val="21"/>
        </w:rPr>
      </w:pPr>
    </w:p>
    <w:p>
      <w:pPr>
        <w:pStyle w:val="4"/>
        <w:keepNext w:val="0"/>
        <w:keepLines w:val="0"/>
        <w:pageBreakBefore w:val="0"/>
        <w:kinsoku/>
        <w:wordWrap/>
        <w:overflowPunct/>
        <w:topLinePunct w:val="0"/>
        <w:autoSpaceDE/>
        <w:autoSpaceDN/>
        <w:bidi w:val="0"/>
        <w:adjustRightInd/>
        <w:snapToGrid w:val="0"/>
        <w:spacing w:beforeAutospacing="0" w:afterAutospacing="0" w:line="360" w:lineRule="auto"/>
        <w:contextualSpacing/>
        <w:jc w:val="center"/>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注：部分课程教学参照</w:t>
      </w:r>
      <w:r>
        <w:rPr>
          <w:rFonts w:hint="eastAsia" w:asciiTheme="minorEastAsia" w:hAnsiTheme="minorEastAsia" w:eastAsiaTheme="minorEastAsia" w:cstheme="minorEastAsia"/>
          <w:sz w:val="21"/>
          <w:szCs w:val="21"/>
          <w:lang w:val="en-US" w:eastAsia="zh-CN"/>
        </w:rPr>
        <w:t>实际</w:t>
      </w:r>
    </w:p>
    <w:p>
      <w:pPr>
        <w:pStyle w:val="4"/>
        <w:numPr>
          <w:ilvl w:val="0"/>
          <w:numId w:val="1"/>
        </w:numPr>
        <w:snapToGrid w:val="0"/>
        <w:spacing w:line="360" w:lineRule="auto"/>
        <w:contextualSpacing/>
        <w:rPr>
          <w:rFonts w:hint="eastAsia" w:asciiTheme="minorEastAsia" w:hAnsiTheme="minorEastAsia" w:eastAsiaTheme="minorEastAsia"/>
          <w:b/>
          <w:bCs/>
          <w:sz w:val="21"/>
          <w:szCs w:val="21"/>
          <w:lang w:val="en-US" w:eastAsia="zh-CN"/>
        </w:rPr>
      </w:pPr>
      <w:r>
        <w:rPr>
          <w:rFonts w:hint="eastAsia" w:asciiTheme="minorEastAsia" w:hAnsiTheme="minorEastAsia" w:eastAsiaTheme="minorEastAsia"/>
          <w:b/>
          <w:bCs/>
          <w:sz w:val="21"/>
          <w:szCs w:val="21"/>
          <w:lang w:val="en-US" w:eastAsia="zh-CN"/>
        </w:rPr>
        <w:t>报名条件：</w:t>
      </w:r>
    </w:p>
    <w:p>
      <w:pPr>
        <w:pStyle w:val="4"/>
        <w:keepNext w:val="0"/>
        <w:keepLines w:val="0"/>
        <w:pageBreakBefore w:val="0"/>
        <w:widowControl/>
        <w:numPr>
          <w:ilvl w:val="0"/>
          <w:numId w:val="3"/>
        </w:numPr>
        <w:kinsoku/>
        <w:wordWrap/>
        <w:overflowPunct/>
        <w:topLinePunct w:val="0"/>
        <w:autoSpaceDE/>
        <w:autoSpaceDN/>
        <w:bidi w:val="0"/>
        <w:adjustRightInd/>
        <w:snapToGrid w:val="0"/>
        <w:spacing w:before="100" w:beforeAutospacing="1" w:after="100" w:afterAutospacing="1" w:line="480" w:lineRule="auto"/>
        <w:ind w:left="210" w:leftChars="0" w:firstLine="315" w:firstLineChars="150"/>
        <w:contextualSpacing/>
        <w:jc w:val="left"/>
        <w:textAlignment w:val="auto"/>
        <w:rPr>
          <w:rFonts w:hint="eastAsia" w:asciiTheme="minorEastAsia" w:hAnsiTheme="minorEastAsia" w:eastAsiaTheme="minorEastAsia"/>
          <w:b w:val="0"/>
          <w:bCs w:val="0"/>
          <w:sz w:val="21"/>
          <w:szCs w:val="21"/>
          <w:lang w:val="en-US" w:eastAsia="zh-CN"/>
        </w:rPr>
      </w:pPr>
      <w:r>
        <w:rPr>
          <w:rFonts w:hint="eastAsia" w:asciiTheme="minorEastAsia" w:hAnsiTheme="minorEastAsia" w:eastAsiaTheme="minorEastAsia"/>
          <w:b w:val="0"/>
          <w:bCs w:val="0"/>
          <w:sz w:val="21"/>
          <w:szCs w:val="21"/>
          <w:lang w:val="en-US" w:eastAsia="zh-CN"/>
        </w:rPr>
        <w:t>拥护中华人民共和国宪法，遵守法律、法规，品行端正，在教学、科研、管理、行政、金融、商业等各个领域拥有一定工作经验和工作业绩的在职人员。</w:t>
      </w:r>
    </w:p>
    <w:p>
      <w:pPr>
        <w:pStyle w:val="4"/>
        <w:keepNext w:val="0"/>
        <w:keepLines w:val="0"/>
        <w:pageBreakBefore w:val="0"/>
        <w:widowControl/>
        <w:numPr>
          <w:ilvl w:val="0"/>
          <w:numId w:val="3"/>
        </w:numPr>
        <w:kinsoku/>
        <w:wordWrap/>
        <w:overflowPunct/>
        <w:topLinePunct w:val="0"/>
        <w:autoSpaceDE/>
        <w:autoSpaceDN/>
        <w:bidi w:val="0"/>
        <w:adjustRightInd/>
        <w:snapToGrid w:val="0"/>
        <w:spacing w:before="100" w:beforeAutospacing="1" w:after="100" w:afterAutospacing="1" w:line="480" w:lineRule="auto"/>
        <w:ind w:left="210" w:leftChars="0" w:firstLine="315" w:firstLineChars="150"/>
        <w:contextualSpacing/>
        <w:jc w:val="left"/>
        <w:textAlignment w:val="auto"/>
        <w:rPr>
          <w:rFonts w:hint="default" w:asciiTheme="minorEastAsia" w:hAnsiTheme="minorEastAsia" w:eastAsiaTheme="minorEastAsia"/>
          <w:b w:val="0"/>
          <w:bCs w:val="0"/>
          <w:sz w:val="21"/>
          <w:szCs w:val="21"/>
          <w:lang w:val="en-US" w:eastAsia="zh-CN"/>
        </w:rPr>
      </w:pPr>
      <w:r>
        <w:rPr>
          <w:rFonts w:hint="eastAsia" w:asciiTheme="minorEastAsia" w:hAnsiTheme="minorEastAsia" w:eastAsiaTheme="minorEastAsia"/>
          <w:b w:val="0"/>
          <w:bCs w:val="0"/>
          <w:sz w:val="21"/>
          <w:szCs w:val="21"/>
          <w:lang w:val="en-US" w:eastAsia="zh-CN"/>
        </w:rPr>
        <w:t>报名人员必须符合下列条件之一：</w:t>
      </w:r>
    </w:p>
    <w:p>
      <w:pPr>
        <w:pStyle w:val="4"/>
        <w:keepNext w:val="0"/>
        <w:keepLines w:val="0"/>
        <w:pageBreakBefore w:val="0"/>
        <w:widowControl/>
        <w:numPr>
          <w:ilvl w:val="0"/>
          <w:numId w:val="4"/>
        </w:numPr>
        <w:kinsoku/>
        <w:wordWrap/>
        <w:overflowPunct/>
        <w:topLinePunct w:val="0"/>
        <w:autoSpaceDE/>
        <w:autoSpaceDN/>
        <w:bidi w:val="0"/>
        <w:adjustRightInd/>
        <w:snapToGrid w:val="0"/>
        <w:spacing w:before="100" w:beforeAutospacing="1" w:after="100" w:afterAutospacing="1" w:line="480" w:lineRule="auto"/>
        <w:ind w:left="210" w:leftChars="0" w:firstLine="315" w:firstLineChars="150"/>
        <w:contextualSpacing/>
        <w:jc w:val="left"/>
        <w:textAlignment w:val="auto"/>
        <w:rPr>
          <w:rFonts w:hint="eastAsia" w:asciiTheme="minorEastAsia" w:hAnsiTheme="minorEastAsia" w:eastAsiaTheme="minorEastAsia"/>
          <w:b w:val="0"/>
          <w:bCs w:val="0"/>
          <w:sz w:val="21"/>
          <w:szCs w:val="21"/>
          <w:lang w:val="en-US" w:eastAsia="zh-CN"/>
        </w:rPr>
      </w:pPr>
      <w:r>
        <w:rPr>
          <w:rFonts w:hint="eastAsia" w:asciiTheme="minorEastAsia" w:hAnsiTheme="minorEastAsia" w:eastAsiaTheme="minorEastAsia"/>
          <w:b w:val="0"/>
          <w:bCs w:val="0"/>
          <w:sz w:val="21"/>
          <w:szCs w:val="21"/>
          <w:lang w:val="en-US" w:eastAsia="zh-CN"/>
        </w:rPr>
        <w:t>大学本科毕业，获得本科毕业证书及学士学位（申请硕士学位须满3年）；</w:t>
      </w:r>
    </w:p>
    <w:p>
      <w:pPr>
        <w:pStyle w:val="4"/>
        <w:keepNext w:val="0"/>
        <w:keepLines w:val="0"/>
        <w:pageBreakBefore w:val="0"/>
        <w:widowControl/>
        <w:numPr>
          <w:ilvl w:val="0"/>
          <w:numId w:val="4"/>
        </w:numPr>
        <w:kinsoku/>
        <w:wordWrap/>
        <w:overflowPunct/>
        <w:topLinePunct w:val="0"/>
        <w:autoSpaceDE/>
        <w:autoSpaceDN/>
        <w:bidi w:val="0"/>
        <w:adjustRightInd/>
        <w:snapToGrid w:val="0"/>
        <w:spacing w:before="100" w:beforeAutospacing="1" w:after="100" w:afterAutospacing="1" w:line="480" w:lineRule="auto"/>
        <w:ind w:left="210" w:leftChars="0" w:firstLine="315" w:firstLineChars="150"/>
        <w:contextualSpacing/>
        <w:jc w:val="left"/>
        <w:textAlignment w:val="auto"/>
        <w:rPr>
          <w:rFonts w:hint="default" w:asciiTheme="minorEastAsia" w:hAnsiTheme="minorEastAsia" w:eastAsiaTheme="minorEastAsia"/>
          <w:b w:val="0"/>
          <w:bCs w:val="0"/>
          <w:sz w:val="21"/>
          <w:szCs w:val="21"/>
          <w:lang w:val="en-US" w:eastAsia="zh-CN"/>
        </w:rPr>
      </w:pPr>
      <w:r>
        <w:rPr>
          <w:rFonts w:hint="eastAsia" w:asciiTheme="minorEastAsia" w:hAnsiTheme="minorEastAsia" w:eastAsiaTheme="minorEastAsia"/>
          <w:b w:val="0"/>
          <w:bCs w:val="0"/>
          <w:sz w:val="21"/>
          <w:szCs w:val="21"/>
          <w:lang w:val="en-US" w:eastAsia="zh-CN"/>
        </w:rPr>
        <w:t>已获得硕士或博士学位；</w:t>
      </w:r>
    </w:p>
    <w:p>
      <w:pPr>
        <w:pStyle w:val="4"/>
        <w:keepNext w:val="0"/>
        <w:keepLines w:val="0"/>
        <w:pageBreakBefore w:val="0"/>
        <w:widowControl/>
        <w:numPr>
          <w:ilvl w:val="0"/>
          <w:numId w:val="4"/>
        </w:numPr>
        <w:kinsoku/>
        <w:wordWrap/>
        <w:overflowPunct/>
        <w:topLinePunct w:val="0"/>
        <w:autoSpaceDE/>
        <w:autoSpaceDN/>
        <w:bidi w:val="0"/>
        <w:adjustRightInd/>
        <w:snapToGrid w:val="0"/>
        <w:spacing w:before="100" w:beforeAutospacing="1" w:after="100" w:afterAutospacing="1" w:line="480" w:lineRule="auto"/>
        <w:ind w:left="210" w:leftChars="0" w:firstLine="315" w:firstLineChars="150"/>
        <w:contextualSpacing/>
        <w:jc w:val="left"/>
        <w:textAlignment w:val="auto"/>
        <w:rPr>
          <w:rFonts w:hint="default" w:asciiTheme="minorEastAsia" w:hAnsiTheme="minorEastAsia" w:eastAsiaTheme="minorEastAsia"/>
          <w:b w:val="0"/>
          <w:bCs w:val="0"/>
          <w:sz w:val="21"/>
          <w:szCs w:val="21"/>
          <w:lang w:val="en-US" w:eastAsia="zh-CN"/>
        </w:rPr>
      </w:pPr>
      <w:r>
        <w:rPr>
          <w:rFonts w:hint="eastAsia" w:asciiTheme="minorEastAsia" w:hAnsiTheme="minorEastAsia" w:eastAsiaTheme="minorEastAsia"/>
          <w:b w:val="0"/>
          <w:bCs w:val="0"/>
          <w:sz w:val="21"/>
          <w:szCs w:val="21"/>
          <w:lang w:val="en-US" w:eastAsia="zh-CN"/>
        </w:rPr>
        <w:t>已获得的学位为国（境）外学位的，须经教育部留学服务中心认证。</w:t>
      </w:r>
    </w:p>
    <w:p>
      <w:pPr>
        <w:pStyle w:val="4"/>
        <w:keepNext w:val="0"/>
        <w:keepLines w:val="0"/>
        <w:pageBreakBefore w:val="0"/>
        <w:widowControl/>
        <w:numPr>
          <w:ilvl w:val="0"/>
          <w:numId w:val="3"/>
        </w:numPr>
        <w:kinsoku/>
        <w:wordWrap/>
        <w:overflowPunct/>
        <w:topLinePunct w:val="0"/>
        <w:autoSpaceDE/>
        <w:autoSpaceDN/>
        <w:bidi w:val="0"/>
        <w:adjustRightInd/>
        <w:snapToGrid w:val="0"/>
        <w:spacing w:before="100" w:beforeAutospacing="1" w:after="100" w:afterAutospacing="1" w:line="480" w:lineRule="auto"/>
        <w:ind w:left="210" w:leftChars="0" w:firstLine="315" w:firstLineChars="150"/>
        <w:contextualSpacing/>
        <w:jc w:val="left"/>
        <w:textAlignment w:val="auto"/>
        <w:rPr>
          <w:rFonts w:hint="eastAsia" w:asciiTheme="minorEastAsia" w:hAnsiTheme="minorEastAsia" w:eastAsiaTheme="minorEastAsia"/>
          <w:b w:val="0"/>
          <w:bCs w:val="0"/>
          <w:sz w:val="21"/>
          <w:szCs w:val="21"/>
          <w:lang w:val="en-US" w:eastAsia="zh-CN"/>
        </w:rPr>
      </w:pPr>
      <w:r>
        <w:rPr>
          <w:rFonts w:hint="eastAsia" w:asciiTheme="minorEastAsia" w:hAnsiTheme="minorEastAsia" w:eastAsiaTheme="minorEastAsia"/>
          <w:b w:val="0"/>
          <w:bCs w:val="0"/>
          <w:sz w:val="21"/>
          <w:szCs w:val="21"/>
          <w:lang w:val="en-US" w:eastAsia="zh-CN"/>
        </w:rPr>
        <w:t>本科毕业无学士学位，或大专学历者，可申请参加课程学习，修满学分可获得同等学力申请硕士学位课程结业证书，但不能申请硕士学位。</w:t>
      </w:r>
    </w:p>
    <w:p>
      <w:pPr>
        <w:pStyle w:val="4"/>
        <w:keepNext w:val="0"/>
        <w:keepLines w:val="0"/>
        <w:pageBreakBefore w:val="0"/>
        <w:widowControl/>
        <w:numPr>
          <w:ilvl w:val="0"/>
          <w:numId w:val="0"/>
        </w:numPr>
        <w:kinsoku/>
        <w:wordWrap/>
        <w:overflowPunct/>
        <w:topLinePunct w:val="0"/>
        <w:autoSpaceDE/>
        <w:autoSpaceDN/>
        <w:bidi w:val="0"/>
        <w:adjustRightInd/>
        <w:snapToGrid w:val="0"/>
        <w:spacing w:before="100" w:beforeAutospacing="1" w:after="100" w:afterAutospacing="1" w:line="480" w:lineRule="auto"/>
        <w:ind w:leftChars="150"/>
        <w:contextualSpacing/>
        <w:jc w:val="left"/>
        <w:textAlignment w:val="auto"/>
        <w:rPr>
          <w:rFonts w:hint="eastAsia" w:asciiTheme="minorEastAsia" w:hAnsiTheme="minorEastAsia" w:eastAsiaTheme="minorEastAsia"/>
          <w:b w:val="0"/>
          <w:bCs w:val="0"/>
          <w:sz w:val="21"/>
          <w:szCs w:val="21"/>
          <w:lang w:val="en-US" w:eastAsia="zh-CN"/>
        </w:rPr>
      </w:pPr>
    </w:p>
    <w:p>
      <w:pPr>
        <w:pStyle w:val="4"/>
        <w:numPr>
          <w:ilvl w:val="0"/>
          <w:numId w:val="1"/>
        </w:numPr>
        <w:snapToGrid w:val="0"/>
        <w:spacing w:line="360" w:lineRule="auto"/>
        <w:contextualSpacing/>
        <w:rPr>
          <w:rFonts w:hint="eastAsia" w:asciiTheme="minorEastAsia" w:hAnsiTheme="minorEastAsia" w:eastAsiaTheme="minorEastAsia"/>
          <w:b/>
          <w:bCs/>
          <w:sz w:val="21"/>
          <w:szCs w:val="21"/>
          <w:lang w:val="en-US" w:eastAsia="zh-CN"/>
        </w:rPr>
      </w:pPr>
      <w:r>
        <w:rPr>
          <w:rFonts w:hint="eastAsia" w:asciiTheme="minorEastAsia" w:hAnsiTheme="minorEastAsia" w:eastAsiaTheme="minorEastAsia"/>
          <w:b/>
          <w:bCs/>
          <w:sz w:val="21"/>
          <w:szCs w:val="21"/>
          <w:lang w:val="en-US" w:eastAsia="zh-CN"/>
        </w:rPr>
        <w:t>报名材料：</w:t>
      </w:r>
    </w:p>
    <w:p>
      <w:pPr>
        <w:pStyle w:val="4"/>
        <w:keepNext w:val="0"/>
        <w:keepLines w:val="0"/>
        <w:pageBreakBefore w:val="0"/>
        <w:widowControl/>
        <w:numPr>
          <w:ilvl w:val="0"/>
          <w:numId w:val="5"/>
        </w:numPr>
        <w:kinsoku/>
        <w:wordWrap/>
        <w:overflowPunct/>
        <w:topLinePunct w:val="0"/>
        <w:autoSpaceDE/>
        <w:autoSpaceDN/>
        <w:bidi w:val="0"/>
        <w:adjustRightInd/>
        <w:snapToGrid w:val="0"/>
        <w:spacing w:before="100" w:beforeAutospacing="1" w:after="100" w:afterAutospacing="1" w:line="360" w:lineRule="auto"/>
        <w:ind w:left="317" w:leftChars="0" w:firstLine="420" w:firstLineChars="200"/>
        <w:contextualSpacing/>
        <w:jc w:val="left"/>
        <w:textAlignment w:val="auto"/>
        <w:rPr>
          <w:rFonts w:hint="default" w:asciiTheme="minorEastAsia" w:hAnsiTheme="minorEastAsia" w:eastAsiaTheme="minorEastAsia"/>
          <w:b w:val="0"/>
          <w:bCs w:val="0"/>
          <w:sz w:val="21"/>
          <w:szCs w:val="21"/>
          <w:lang w:val="en-US" w:eastAsia="zh-CN"/>
        </w:rPr>
      </w:pPr>
      <w:r>
        <w:rPr>
          <w:rFonts w:hint="eastAsia" w:asciiTheme="minorEastAsia" w:hAnsiTheme="minorEastAsia" w:eastAsiaTheme="minorEastAsia"/>
          <w:b w:val="0"/>
          <w:bCs w:val="0"/>
          <w:sz w:val="21"/>
          <w:szCs w:val="21"/>
          <w:lang w:val="en-US" w:eastAsia="zh-CN"/>
        </w:rPr>
        <w:t>本人身份证、本科毕业证、学士学位证书、2寸蓝底彩色照片；</w:t>
      </w:r>
    </w:p>
    <w:p>
      <w:pPr>
        <w:pStyle w:val="4"/>
        <w:keepNext w:val="0"/>
        <w:keepLines w:val="0"/>
        <w:pageBreakBefore w:val="0"/>
        <w:widowControl/>
        <w:numPr>
          <w:ilvl w:val="0"/>
          <w:numId w:val="5"/>
        </w:numPr>
        <w:kinsoku/>
        <w:wordWrap/>
        <w:overflowPunct/>
        <w:topLinePunct w:val="0"/>
        <w:autoSpaceDE/>
        <w:autoSpaceDN/>
        <w:bidi w:val="0"/>
        <w:adjustRightInd/>
        <w:snapToGrid w:val="0"/>
        <w:spacing w:before="100" w:beforeAutospacing="1" w:after="100" w:afterAutospacing="1" w:line="360" w:lineRule="auto"/>
        <w:ind w:left="317" w:leftChars="0" w:firstLine="420" w:firstLineChars="200"/>
        <w:contextualSpacing/>
        <w:jc w:val="left"/>
        <w:textAlignment w:val="auto"/>
        <w:rPr>
          <w:rFonts w:hint="default" w:asciiTheme="minorEastAsia" w:hAnsiTheme="minorEastAsia" w:eastAsiaTheme="minorEastAsia"/>
          <w:b w:val="0"/>
          <w:bCs w:val="0"/>
          <w:sz w:val="21"/>
          <w:szCs w:val="21"/>
          <w:lang w:val="en-US" w:eastAsia="zh-CN"/>
        </w:rPr>
      </w:pPr>
      <w:r>
        <w:rPr>
          <w:rFonts w:hint="eastAsia" w:asciiTheme="minorEastAsia" w:hAnsiTheme="minorEastAsia" w:eastAsiaTheme="minorEastAsia"/>
          <w:b w:val="0"/>
          <w:bCs w:val="0"/>
          <w:sz w:val="21"/>
          <w:szCs w:val="21"/>
          <w:lang w:val="en-US" w:eastAsia="zh-CN"/>
        </w:rPr>
        <w:t>申请人在教学、科研、专门技术、管理方面做出成绩的有效证明材料；</w:t>
      </w:r>
    </w:p>
    <w:p>
      <w:pPr>
        <w:pStyle w:val="4"/>
        <w:keepNext w:val="0"/>
        <w:keepLines w:val="0"/>
        <w:pageBreakBefore w:val="0"/>
        <w:widowControl/>
        <w:numPr>
          <w:ilvl w:val="0"/>
          <w:numId w:val="5"/>
        </w:numPr>
        <w:kinsoku/>
        <w:wordWrap/>
        <w:overflowPunct/>
        <w:topLinePunct w:val="0"/>
        <w:autoSpaceDE/>
        <w:autoSpaceDN/>
        <w:bidi w:val="0"/>
        <w:adjustRightInd/>
        <w:snapToGrid w:val="0"/>
        <w:spacing w:before="100" w:beforeAutospacing="1" w:after="100" w:afterAutospacing="1" w:line="360" w:lineRule="auto"/>
        <w:ind w:left="317" w:leftChars="0" w:firstLine="420" w:firstLineChars="200"/>
        <w:contextualSpacing/>
        <w:jc w:val="left"/>
        <w:textAlignment w:val="auto"/>
        <w:rPr>
          <w:rFonts w:hint="eastAsia" w:asciiTheme="minorEastAsia" w:hAnsiTheme="minorEastAsia" w:eastAsiaTheme="minorEastAsia"/>
          <w:b/>
          <w:bCs/>
          <w:sz w:val="21"/>
          <w:szCs w:val="21"/>
          <w:lang w:val="en-US" w:eastAsia="zh-CN"/>
        </w:rPr>
      </w:pPr>
      <w:r>
        <w:rPr>
          <w:rFonts w:hint="eastAsia" w:asciiTheme="minorEastAsia" w:hAnsiTheme="minorEastAsia" w:eastAsiaTheme="minorEastAsia"/>
          <w:b w:val="0"/>
          <w:bCs w:val="0"/>
          <w:sz w:val="21"/>
          <w:szCs w:val="21"/>
          <w:lang w:val="en-US" w:eastAsia="zh-CN"/>
        </w:rPr>
        <w:t>申请报名登记表、《诚信承诺书》。</w:t>
      </w:r>
    </w:p>
    <w:p>
      <w:pPr>
        <w:pStyle w:val="4"/>
        <w:keepNext w:val="0"/>
        <w:keepLines w:val="0"/>
        <w:pageBreakBefore w:val="0"/>
        <w:widowControl/>
        <w:numPr>
          <w:ilvl w:val="0"/>
          <w:numId w:val="0"/>
        </w:numPr>
        <w:kinsoku/>
        <w:wordWrap/>
        <w:overflowPunct/>
        <w:topLinePunct w:val="0"/>
        <w:autoSpaceDE/>
        <w:autoSpaceDN/>
        <w:bidi w:val="0"/>
        <w:adjustRightInd/>
        <w:snapToGrid w:val="0"/>
        <w:spacing w:before="100" w:beforeAutospacing="1" w:after="100" w:afterAutospacing="1" w:line="360" w:lineRule="auto"/>
        <w:ind w:leftChars="200"/>
        <w:contextualSpacing/>
        <w:jc w:val="left"/>
        <w:textAlignment w:val="auto"/>
        <w:rPr>
          <w:rFonts w:hint="eastAsia" w:asciiTheme="minorEastAsia" w:hAnsiTheme="minorEastAsia" w:eastAsiaTheme="minorEastAsia"/>
          <w:b/>
          <w:bCs/>
          <w:sz w:val="21"/>
          <w:szCs w:val="21"/>
          <w:lang w:val="en-US" w:eastAsia="zh-CN"/>
        </w:rPr>
      </w:pPr>
    </w:p>
    <w:p>
      <w:pPr>
        <w:pStyle w:val="4"/>
        <w:numPr>
          <w:ilvl w:val="0"/>
          <w:numId w:val="1"/>
        </w:numPr>
        <w:snapToGrid w:val="0"/>
        <w:spacing w:line="360" w:lineRule="auto"/>
        <w:contextualSpacing/>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b/>
          <w:bCs/>
          <w:sz w:val="21"/>
          <w:szCs w:val="21"/>
          <w:lang w:val="en-US" w:eastAsia="zh-CN"/>
        </w:rPr>
        <w:t>培养方式和学制：</w:t>
      </w:r>
    </w:p>
    <w:p>
      <w:pPr>
        <w:pStyle w:val="4"/>
        <w:keepNext w:val="0"/>
        <w:keepLines w:val="0"/>
        <w:pageBreakBefore w:val="0"/>
        <w:widowControl/>
        <w:numPr>
          <w:ilvl w:val="0"/>
          <w:numId w:val="0"/>
        </w:numPr>
        <w:kinsoku/>
        <w:wordWrap/>
        <w:overflowPunct/>
        <w:topLinePunct w:val="0"/>
        <w:autoSpaceDE/>
        <w:autoSpaceDN/>
        <w:bidi w:val="0"/>
        <w:adjustRightInd/>
        <w:snapToGrid w:val="0"/>
        <w:spacing w:before="100" w:beforeAutospacing="1" w:after="100" w:afterAutospacing="1" w:line="360" w:lineRule="auto"/>
        <w:ind w:firstLine="420" w:firstLineChars="200"/>
        <w:contextualSpacing/>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教学方式：采用线上/线下授课，</w:t>
      </w:r>
      <w:r>
        <w:rPr>
          <w:rFonts w:hint="eastAsia" w:ascii="仿宋" w:hAnsi="仿宋" w:cs="仿宋"/>
          <w:b w:val="0"/>
          <w:bCs w:val="0"/>
          <w:color w:val="000000"/>
          <w:spacing w:val="1"/>
          <w:sz w:val="21"/>
          <w:szCs w:val="21"/>
          <w:lang w:val="en-US" w:eastAsia="zh-CN"/>
        </w:rPr>
        <w:t>（授课采取线上为主的方式教学）</w:t>
      </w:r>
      <w:r>
        <w:rPr>
          <w:rFonts w:hint="eastAsia" w:asciiTheme="minorEastAsia" w:hAnsiTheme="minorEastAsia" w:eastAsiaTheme="minorEastAsia" w:cstheme="minorEastAsia"/>
          <w:sz w:val="21"/>
          <w:szCs w:val="21"/>
          <w:lang w:val="en-US" w:eastAsia="zh-CN"/>
        </w:rPr>
        <w:t>；</w:t>
      </w:r>
    </w:p>
    <w:p>
      <w:pPr>
        <w:pStyle w:val="4"/>
        <w:keepNext w:val="0"/>
        <w:keepLines w:val="0"/>
        <w:pageBreakBefore w:val="0"/>
        <w:widowControl/>
        <w:numPr>
          <w:ilvl w:val="0"/>
          <w:numId w:val="0"/>
        </w:numPr>
        <w:kinsoku/>
        <w:wordWrap/>
        <w:overflowPunct/>
        <w:topLinePunct w:val="0"/>
        <w:autoSpaceDE/>
        <w:autoSpaceDN/>
        <w:bidi w:val="0"/>
        <w:adjustRightInd/>
        <w:snapToGrid w:val="0"/>
        <w:spacing w:before="100" w:beforeAutospacing="1" w:after="100" w:afterAutospacing="1" w:line="360" w:lineRule="auto"/>
        <w:ind w:firstLine="420" w:firstLineChars="200"/>
        <w:contextualSpacing/>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弹性学制：</w:t>
      </w:r>
      <w:bookmarkStart w:id="0" w:name="_GoBack"/>
      <w:r>
        <w:rPr>
          <w:rFonts w:hint="eastAsia" w:asciiTheme="minorEastAsia" w:hAnsiTheme="minorEastAsia" w:eastAsiaTheme="minorEastAsia" w:cstheme="minorEastAsia"/>
          <w:sz w:val="21"/>
          <w:szCs w:val="21"/>
          <w:lang w:val="en-US" w:eastAsia="zh-CN"/>
        </w:rPr>
        <w:t xml:space="preserve">2年 -6年  </w:t>
      </w:r>
      <w:bookmarkEnd w:id="0"/>
    </w:p>
    <w:p>
      <w:pPr>
        <w:pStyle w:val="4"/>
        <w:keepNext w:val="0"/>
        <w:keepLines w:val="0"/>
        <w:pageBreakBefore w:val="0"/>
        <w:widowControl/>
        <w:numPr>
          <w:ilvl w:val="0"/>
          <w:numId w:val="0"/>
        </w:numPr>
        <w:kinsoku/>
        <w:wordWrap/>
        <w:overflowPunct/>
        <w:topLinePunct w:val="0"/>
        <w:autoSpaceDE/>
        <w:autoSpaceDN/>
        <w:bidi w:val="0"/>
        <w:adjustRightInd/>
        <w:snapToGrid w:val="0"/>
        <w:spacing w:before="100" w:beforeAutospacing="1" w:after="100" w:afterAutospacing="1" w:line="360" w:lineRule="auto"/>
        <w:contextualSpacing/>
        <w:jc w:val="left"/>
        <w:textAlignment w:val="auto"/>
        <w:rPr>
          <w:rFonts w:hint="eastAsia" w:asciiTheme="minorEastAsia" w:hAnsiTheme="minorEastAsia" w:eastAsiaTheme="minorEastAsia" w:cstheme="minorEastAsia"/>
          <w:sz w:val="21"/>
          <w:szCs w:val="21"/>
          <w:lang w:val="en-US" w:eastAsia="zh-CN"/>
        </w:rPr>
      </w:pPr>
    </w:p>
    <w:p>
      <w:pPr>
        <w:pStyle w:val="4"/>
        <w:numPr>
          <w:ilvl w:val="0"/>
          <w:numId w:val="1"/>
        </w:numPr>
        <w:snapToGrid w:val="0"/>
        <w:spacing w:line="360" w:lineRule="auto"/>
        <w:contextualSpacing/>
        <w:rPr>
          <w:rFonts w:hint="eastAsia" w:asciiTheme="minorEastAsia" w:hAnsiTheme="minorEastAsia" w:eastAsiaTheme="minorEastAsia"/>
          <w:b/>
          <w:bCs/>
          <w:sz w:val="21"/>
          <w:szCs w:val="21"/>
          <w:lang w:val="en-US" w:eastAsia="zh-CN"/>
        </w:rPr>
      </w:pPr>
      <w:r>
        <w:rPr>
          <w:rFonts w:hint="eastAsia" w:asciiTheme="minorEastAsia" w:hAnsiTheme="minorEastAsia" w:eastAsiaTheme="minorEastAsia"/>
          <w:b/>
          <w:bCs/>
          <w:sz w:val="21"/>
          <w:szCs w:val="21"/>
          <w:lang w:val="en-US" w:eastAsia="zh-CN"/>
        </w:rPr>
        <w:t>获取证书：</w:t>
      </w:r>
    </w:p>
    <w:p>
      <w:pPr>
        <w:pStyle w:val="4"/>
        <w:keepNext w:val="0"/>
        <w:keepLines w:val="0"/>
        <w:pageBreakBefore w:val="0"/>
        <w:widowControl/>
        <w:numPr>
          <w:ilvl w:val="0"/>
          <w:numId w:val="6"/>
        </w:numPr>
        <w:kinsoku/>
        <w:wordWrap/>
        <w:overflowPunct/>
        <w:topLinePunct w:val="0"/>
        <w:autoSpaceDE/>
        <w:autoSpaceDN/>
        <w:bidi w:val="0"/>
        <w:adjustRightInd/>
        <w:snapToGrid w:val="0"/>
        <w:spacing w:line="480" w:lineRule="auto"/>
        <w:ind w:firstLine="315" w:firstLineChars="150"/>
        <w:contextualSpacing/>
        <w:textAlignment w:val="auto"/>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eastAsiaTheme="minorEastAsia" w:cstheme="minorEastAsia"/>
          <w:kern w:val="0"/>
          <w:sz w:val="21"/>
          <w:szCs w:val="21"/>
          <w:lang w:val="en-US" w:eastAsia="zh-CN" w:bidi="ar-SA"/>
        </w:rPr>
        <w:t>学员通过所报专业硕士研究生所有必修课程和选修课程考试，修满学分成绩合格，课程学习结束时发给武汉轻工大学硕士研究生课程班结业证书。</w:t>
      </w:r>
    </w:p>
    <w:p>
      <w:pPr>
        <w:pStyle w:val="4"/>
        <w:keepNext w:val="0"/>
        <w:keepLines w:val="0"/>
        <w:pageBreakBefore w:val="0"/>
        <w:widowControl/>
        <w:numPr>
          <w:ilvl w:val="0"/>
          <w:numId w:val="6"/>
        </w:numPr>
        <w:kinsoku/>
        <w:wordWrap/>
        <w:overflowPunct/>
        <w:topLinePunct w:val="0"/>
        <w:autoSpaceDE/>
        <w:autoSpaceDN/>
        <w:bidi w:val="0"/>
        <w:adjustRightInd/>
        <w:snapToGrid w:val="0"/>
        <w:spacing w:line="480" w:lineRule="auto"/>
        <w:ind w:left="0" w:leftChars="0" w:firstLine="315" w:firstLineChars="150"/>
        <w:contextualSpacing/>
        <w:textAlignment w:val="auto"/>
        <w:rPr>
          <w:rFonts w:hint="eastAsia" w:asciiTheme="minorEastAsia" w:hAnsiTheme="minorEastAsia" w:cstheme="minorEastAsia"/>
          <w:kern w:val="0"/>
          <w:sz w:val="21"/>
          <w:szCs w:val="21"/>
          <w:lang w:val="en-US" w:eastAsia="zh-CN" w:bidi="ar-SA"/>
        </w:rPr>
      </w:pPr>
      <w:r>
        <w:rPr>
          <w:rFonts w:hint="eastAsia" w:asciiTheme="minorEastAsia" w:hAnsiTheme="minorEastAsia" w:cstheme="minorEastAsia"/>
          <w:kern w:val="0"/>
          <w:sz w:val="21"/>
          <w:szCs w:val="21"/>
          <w:lang w:val="en-US" w:eastAsia="zh-CN" w:bidi="ar-SA"/>
        </w:rPr>
        <w:t>完成所有课程学习并且考核合格这，满足同等学力申请硕士学位条件学员，可参加全国统一考试，成绩合格达标者可进入学位论文写作阶段，论文通过评审、答辩，并经由我校学位评定委员会批准，可授予武汉轻工大学硕士学位。</w:t>
      </w:r>
    </w:p>
    <w:p>
      <w:pPr>
        <w:pStyle w:val="4"/>
        <w:keepNext w:val="0"/>
        <w:keepLines w:val="0"/>
        <w:pageBreakBefore w:val="0"/>
        <w:widowControl/>
        <w:numPr>
          <w:ilvl w:val="0"/>
          <w:numId w:val="0"/>
        </w:numPr>
        <w:kinsoku/>
        <w:wordWrap/>
        <w:overflowPunct/>
        <w:topLinePunct w:val="0"/>
        <w:autoSpaceDE/>
        <w:autoSpaceDN/>
        <w:bidi w:val="0"/>
        <w:adjustRightInd/>
        <w:snapToGrid w:val="0"/>
        <w:spacing w:line="480" w:lineRule="auto"/>
        <w:ind w:leftChars="150"/>
        <w:contextualSpacing/>
        <w:textAlignment w:val="auto"/>
        <w:rPr>
          <w:rFonts w:hint="eastAsia" w:asciiTheme="minorEastAsia" w:hAnsiTheme="minorEastAsia" w:cstheme="minorEastAsia"/>
          <w:kern w:val="0"/>
          <w:sz w:val="21"/>
          <w:szCs w:val="21"/>
          <w:lang w:val="en-US" w:eastAsia="zh-CN" w:bidi="ar-SA"/>
        </w:rPr>
      </w:pPr>
    </w:p>
    <w:p>
      <w:pPr>
        <w:pStyle w:val="4"/>
        <w:numPr>
          <w:ilvl w:val="0"/>
          <w:numId w:val="1"/>
        </w:numPr>
        <w:snapToGrid w:val="0"/>
        <w:spacing w:line="360" w:lineRule="auto"/>
        <w:contextualSpacing/>
        <w:rPr>
          <w:rFonts w:hint="eastAsia" w:asciiTheme="minorEastAsia" w:hAnsiTheme="minorEastAsia" w:eastAsiaTheme="minorEastAsia"/>
          <w:b/>
          <w:bCs/>
          <w:sz w:val="21"/>
          <w:szCs w:val="21"/>
          <w:lang w:val="en-US" w:eastAsia="zh-CN"/>
        </w:rPr>
      </w:pPr>
      <w:r>
        <w:rPr>
          <w:rFonts w:hint="eastAsia" w:asciiTheme="minorEastAsia" w:hAnsiTheme="minorEastAsia" w:eastAsiaTheme="minorEastAsia"/>
          <w:b/>
          <w:bCs/>
          <w:sz w:val="21"/>
          <w:szCs w:val="21"/>
          <w:lang w:val="en-US" w:eastAsia="zh-CN"/>
        </w:rPr>
        <w:t>收费标准：</w:t>
      </w:r>
    </w:p>
    <w:p>
      <w:pPr>
        <w:pStyle w:val="4"/>
        <w:numPr>
          <w:ilvl w:val="0"/>
          <w:numId w:val="0"/>
        </w:numPr>
        <w:snapToGrid w:val="0"/>
        <w:spacing w:line="360" w:lineRule="auto"/>
        <w:ind w:firstLine="420" w:firstLineChars="200"/>
        <w:contextualSpacing/>
        <w:rPr>
          <w:rFonts w:hint="eastAsia" w:asciiTheme="minorEastAsia" w:hAnsiTheme="minorEastAsia" w:eastAsiaTheme="minorEastAsia"/>
          <w:b/>
          <w:bCs/>
          <w:sz w:val="21"/>
          <w:szCs w:val="21"/>
          <w:lang w:val="en-US" w:eastAsia="zh-CN"/>
        </w:rPr>
      </w:pPr>
      <w:r>
        <w:rPr>
          <w:rFonts w:hint="eastAsia" w:ascii="宋体" w:hAnsi="宋体" w:eastAsia="宋体" w:cs="宋体"/>
          <w:b w:val="0"/>
          <w:bCs/>
          <w:color w:val="auto"/>
          <w:sz w:val="21"/>
          <w:szCs w:val="21"/>
          <w:lang w:val="en-US" w:eastAsia="zh-CN"/>
        </w:rPr>
        <w:t>学费缴纳分两段制进行，即课程学习阶段和撰写学位论文和论文答辩阶段，</w:t>
      </w:r>
      <w:r>
        <w:rPr>
          <w:rFonts w:hint="eastAsia" w:asciiTheme="minorEastAsia" w:hAnsiTheme="minorEastAsia" w:cstheme="minorEastAsia"/>
          <w:kern w:val="0"/>
          <w:sz w:val="21"/>
          <w:szCs w:val="21"/>
          <w:lang w:val="en-US" w:eastAsia="zh-CN" w:bidi="ar-SA"/>
        </w:rPr>
        <w:t>第一阶段：学费12000元和课程学习费用10000元；第二阶段：论文答辩16000元。</w:t>
      </w:r>
    </w:p>
    <w:p>
      <w:pPr>
        <w:pStyle w:val="4"/>
        <w:widowControl/>
        <w:numPr>
          <w:ilvl w:val="0"/>
          <w:numId w:val="0"/>
        </w:numPr>
        <w:snapToGrid w:val="0"/>
        <w:spacing w:before="100" w:beforeAutospacing="1" w:after="100" w:afterAutospacing="1" w:line="360" w:lineRule="auto"/>
        <w:contextualSpacing/>
        <w:jc w:val="left"/>
        <w:rPr>
          <w:rFonts w:hint="eastAsia" w:asciiTheme="minorEastAsia" w:hAnsiTheme="minorEastAsia" w:eastAsiaTheme="minorEastAsia"/>
          <w:b/>
          <w:bCs/>
          <w:sz w:val="21"/>
          <w:szCs w:val="21"/>
          <w:lang w:val="en-US" w:eastAsia="zh-CN"/>
        </w:rPr>
      </w:pPr>
    </w:p>
    <w:p>
      <w:pPr>
        <w:pStyle w:val="4"/>
        <w:numPr>
          <w:ilvl w:val="0"/>
          <w:numId w:val="0"/>
        </w:numPr>
        <w:snapToGrid w:val="0"/>
        <w:spacing w:line="360" w:lineRule="auto"/>
        <w:ind w:firstLine="480" w:firstLineChars="200"/>
        <w:contextualSpacing/>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5219700"/>
          <wp:effectExtent l="0" t="0" r="2540" b="0"/>
          <wp:wrapNone/>
          <wp:docPr id="3" name="WordPictureWatermark25249" descr="武汉轻工大学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5249" descr="武汉轻工大学1"/>
                  <pic:cNvPicPr>
                    <a:picLocks noChangeAspect="1"/>
                  </pic:cNvPicPr>
                </pic:nvPicPr>
                <pic:blipFill>
                  <a:blip r:embed="rId1">
                    <a:lum bright="69998" contrast="-70001"/>
                  </a:blip>
                  <a:stretch>
                    <a:fillRect/>
                  </a:stretch>
                </pic:blipFill>
                <pic:spPr>
                  <a:xfrm>
                    <a:off x="0" y="0"/>
                    <a:ext cx="5274310" cy="52197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FB78AB"/>
    <w:multiLevelType w:val="singleLevel"/>
    <w:tmpl w:val="B3FB78AB"/>
    <w:lvl w:ilvl="0" w:tentative="0">
      <w:start w:val="1"/>
      <w:numFmt w:val="decimal"/>
      <w:suff w:val="nothing"/>
      <w:lvlText w:val="%1、"/>
      <w:lvlJc w:val="left"/>
    </w:lvl>
  </w:abstractNum>
  <w:abstractNum w:abstractNumId="1">
    <w:nsid w:val="BA04DF7C"/>
    <w:multiLevelType w:val="singleLevel"/>
    <w:tmpl w:val="BA04DF7C"/>
    <w:lvl w:ilvl="0" w:tentative="0">
      <w:start w:val="1"/>
      <w:numFmt w:val="decimal"/>
      <w:suff w:val="nothing"/>
      <w:lvlText w:val="%1、"/>
      <w:lvlJc w:val="left"/>
      <w:pPr>
        <w:ind w:left="210" w:leftChars="0" w:firstLine="0" w:firstLineChars="0"/>
      </w:pPr>
    </w:lvl>
  </w:abstractNum>
  <w:abstractNum w:abstractNumId="2">
    <w:nsid w:val="C000E8B9"/>
    <w:multiLevelType w:val="singleLevel"/>
    <w:tmpl w:val="C000E8B9"/>
    <w:lvl w:ilvl="0" w:tentative="0">
      <w:start w:val="1"/>
      <w:numFmt w:val="decimal"/>
      <w:suff w:val="nothing"/>
      <w:lvlText w:val="%1、"/>
      <w:lvlJc w:val="left"/>
      <w:pPr>
        <w:ind w:left="-212"/>
      </w:pPr>
      <w:rPr>
        <w:rFonts w:hint="default"/>
        <w:b/>
        <w:bCs/>
      </w:rPr>
    </w:lvl>
  </w:abstractNum>
  <w:abstractNum w:abstractNumId="3">
    <w:nsid w:val="FD979A40"/>
    <w:multiLevelType w:val="singleLevel"/>
    <w:tmpl w:val="FD979A40"/>
    <w:lvl w:ilvl="0" w:tentative="0">
      <w:start w:val="1"/>
      <w:numFmt w:val="chineseCounting"/>
      <w:suff w:val="nothing"/>
      <w:lvlText w:val="%1、"/>
      <w:lvlJc w:val="left"/>
      <w:rPr>
        <w:rFonts w:hint="eastAsia"/>
        <w:b/>
        <w:bCs/>
      </w:rPr>
    </w:lvl>
  </w:abstractNum>
  <w:abstractNum w:abstractNumId="4">
    <w:nsid w:val="0839793D"/>
    <w:multiLevelType w:val="singleLevel"/>
    <w:tmpl w:val="0839793D"/>
    <w:lvl w:ilvl="0" w:tentative="0">
      <w:start w:val="1"/>
      <w:numFmt w:val="decimal"/>
      <w:suff w:val="nothing"/>
      <w:lvlText w:val="（%1）"/>
      <w:lvlJc w:val="left"/>
    </w:lvl>
  </w:abstractNum>
  <w:abstractNum w:abstractNumId="5">
    <w:nsid w:val="4BE3664B"/>
    <w:multiLevelType w:val="singleLevel"/>
    <w:tmpl w:val="4BE3664B"/>
    <w:lvl w:ilvl="0" w:tentative="0">
      <w:start w:val="1"/>
      <w:numFmt w:val="decimal"/>
      <w:suff w:val="nothing"/>
      <w:lvlText w:val="%1、"/>
      <w:lvlJc w:val="left"/>
      <w:pPr>
        <w:ind w:left="316" w:leftChars="0" w:firstLine="0" w:firstLineChars="0"/>
      </w:p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xMTkyNmY5MDNmOGI5NWNlNjI3NTYyYjM0YzdlNTUifQ=="/>
  </w:docVars>
  <w:rsids>
    <w:rsidRoot w:val="3ECE6E3A"/>
    <w:rsid w:val="29AB7DF4"/>
    <w:rsid w:val="33BD52AE"/>
    <w:rsid w:val="3BD96051"/>
    <w:rsid w:val="3ECE6E3A"/>
    <w:rsid w:val="40CB5A7A"/>
    <w:rsid w:val="4A0D4904"/>
    <w:rsid w:val="5FE92FD3"/>
    <w:rsid w:val="601211A9"/>
    <w:rsid w:val="60AD0B53"/>
    <w:rsid w:val="625F43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1746</Words>
  <Characters>1781</Characters>
  <Lines>0</Lines>
  <Paragraphs>0</Paragraphs>
  <TotalTime>59</TotalTime>
  <ScaleCrop>false</ScaleCrop>
  <LinksUpToDate>false</LinksUpToDate>
  <CharactersWithSpaces>1788</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2022-09-05T01:10:00Z</dcterms:created>
  <dc:creator>Administrator</dc:creator>
  <cp:lastModifiedBy>冰冰⊙▽⊙＊</cp:lastModifiedBy>
  <dcterms:modified xsi:type="dcterms:W3CDTF">2022-09-22T02:23:11Z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F3278CC6000245DEA577E8BEBE6C9D37</vt:lpwstr>
  </property>
</Properties>
</file>