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70500" cy="127381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1273810"/>
                    </a:xfrm>
                    <a:prstGeom prst="rect">
                      <a:avLst/>
                    </a:prstGeom>
                    <a:noFill/>
                    <a:ln>
                      <a:noFill/>
                    </a:ln>
                  </pic:spPr>
                </pic:pic>
              </a:graphicData>
            </a:graphic>
          </wp:inline>
        </w:drawing>
      </w:r>
    </w:p>
    <w:p/>
    <w:p>
      <w:pPr>
        <w:pStyle w:val="4"/>
        <w:snapToGrid w:val="0"/>
        <w:spacing w:line="360" w:lineRule="auto"/>
        <w:contextualSpacing/>
        <w:jc w:val="center"/>
        <w:rPr>
          <w:rFonts w:hint="eastAsia"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lang w:val="en-US" w:eastAsia="zh-CN"/>
        </w:rPr>
        <w:t>武汉轻工</w:t>
      </w:r>
      <w:r>
        <w:rPr>
          <w:rFonts w:asciiTheme="majorEastAsia" w:hAnsiTheme="majorEastAsia" w:eastAsiaTheme="majorEastAsia"/>
          <w:b/>
          <w:sz w:val="32"/>
          <w:szCs w:val="32"/>
        </w:rPr>
        <w:t>大学</w:t>
      </w:r>
      <w:r>
        <w:rPr>
          <w:rFonts w:hint="eastAsia" w:asciiTheme="majorEastAsia" w:hAnsiTheme="majorEastAsia" w:eastAsiaTheme="majorEastAsia"/>
          <w:b/>
          <w:sz w:val="32"/>
          <w:szCs w:val="32"/>
          <w:lang w:val="en-US" w:eastAsia="zh-CN"/>
        </w:rPr>
        <w:t>工商管理同等学力申请硕士学位</w:t>
      </w:r>
    </w:p>
    <w:p>
      <w:pPr>
        <w:pStyle w:val="4"/>
        <w:snapToGrid w:val="0"/>
        <w:spacing w:line="360" w:lineRule="auto"/>
        <w:contextualSpacing/>
        <w:jc w:val="center"/>
        <w:rPr>
          <w:rFonts w:hint="eastAsia" w:asciiTheme="majorEastAsia" w:hAnsiTheme="majorEastAsia" w:eastAsiaTheme="majorEastAsia"/>
          <w:b/>
          <w:sz w:val="32"/>
          <w:szCs w:val="32"/>
        </w:rPr>
      </w:pPr>
      <w:r>
        <w:rPr>
          <w:rFonts w:asciiTheme="majorEastAsia" w:hAnsiTheme="majorEastAsia" w:eastAsiaTheme="majorEastAsia"/>
          <w:b/>
          <w:sz w:val="32"/>
          <w:szCs w:val="32"/>
        </w:rPr>
        <w:t>招生简章</w:t>
      </w:r>
      <w:r>
        <w:rPr>
          <w:rFonts w:hint="eastAsia" w:asciiTheme="majorEastAsia" w:hAnsiTheme="majorEastAsia" w:eastAsiaTheme="majorEastAsia"/>
          <w:b/>
          <w:sz w:val="32"/>
          <w:szCs w:val="32"/>
        </w:rPr>
        <w:t>.xx班</w:t>
      </w:r>
    </w:p>
    <w:p>
      <w:pPr>
        <w:pStyle w:val="4"/>
        <w:snapToGrid w:val="0"/>
        <w:spacing w:line="360" w:lineRule="auto"/>
        <w:ind w:left="2459" w:leftChars="100" w:hanging="2249" w:hangingChars="700"/>
        <w:contextualSpacing/>
        <w:jc w:val="center"/>
        <w:rPr>
          <w:rFonts w:hint="eastAsia" w:asciiTheme="majorEastAsia" w:hAnsiTheme="majorEastAsia" w:eastAsiaTheme="majorEastAsia"/>
          <w:b/>
          <w:sz w:val="32"/>
          <w:szCs w:val="32"/>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院校简介：</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武汉轻工大学创建于1951年，位于有“九省通衢”之称的湖北省武汉市，是全国最早培养粮食行业专门人才的学校，先后隶属于原国家粮食部、商业部、国内贸易部，1998年实行中央和地方共建，以湖北省管理为主的管理体制，是国家粮食和物资储备局与湖北省人民政府共建高校、湖北省国内一流学科建设高校和湖北省第一批本科招生高校。</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学校坚持以学科建设为龙头，大力实施“特色兴校”战略。聚焦“大食品大营养大健康”领域，形成了以工学为主体，农学和管理学为两翼，工、农、管、理、文、经、医、艺、法等多学科协调发展的格局。现有一级学科硕士点13个，二级学科硕士点70个，交叉学科硕士点3个，硕士专业学位授权点11个类别（16个领域），其中 “国内一流学科”1个，湖北省优势特色学科群4个，“农业科学”进入ESI全球排名前1%；学校拥有国家级、省（部）级科技创新平台55个，其中国家级平台2个、省（部）级重点实验室4个。</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管理学院建于1984年,现有专任教师83人，其中教授、副教授等高级职称教师占61%，具有博士学位教师占61%。学院拥有工商管理和公共管理2个学术型一级学科硕士学位授权点，其中工商管理是湖北省优势特色学科群食品科学与安全学科群的支撑学科，博士点立项建设学科。现招收2022年工商管理专业研修课程培训班学员，为社会各界提供优秀硕士研究生专业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培养目标：</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316"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bCs/>
          <w:sz w:val="21"/>
          <w:szCs w:val="21"/>
          <w:lang w:val="en-US" w:eastAsia="zh-CN"/>
        </w:rPr>
        <w:t xml:space="preserve">   </w:t>
      </w:r>
      <w:r>
        <w:rPr>
          <w:rFonts w:hint="eastAsia" w:asciiTheme="minorEastAsia" w:hAnsiTheme="minorEastAsia" w:eastAsiaTheme="minorEastAsia"/>
          <w:b w:val="0"/>
          <w:bCs w:val="0"/>
          <w:sz w:val="21"/>
          <w:szCs w:val="21"/>
          <w:lang w:val="en-US" w:eastAsia="zh-CN"/>
        </w:rPr>
        <w:t>本专业主要通过学习和掌握工商管理相关基础理论和知识，掌握本学科基础理论和系统的专业知识以及必要的实践技能，了解学科发展现状和动向，培养具强烈事业心和社会责任感，积极为社会主义现代化建设服务的，具备一定的学术研究创新能力和开拓进取精神，能够开展本专业学术研究和应用研究、适应工商企业与科研机构的教学与研究的专门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315" w:firstLineChars="1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培养优势：</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免试入学</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大专以上即可报名，</w:t>
      </w:r>
      <w:r>
        <w:rPr>
          <w:rFonts w:hint="eastAsia" w:asciiTheme="minorEastAsia" w:hAnsiTheme="minorEastAsia" w:eastAsiaTheme="minorEastAsia" w:cstheme="minorEastAsia"/>
          <w:sz w:val="21"/>
          <w:szCs w:val="21"/>
        </w:rPr>
        <w:t>先学习再考试，有足够充分的准备和学习课程的时间；</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学习方式灵活</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lang w:val="en-US" w:eastAsia="zh-CN"/>
        </w:rPr>
        <w:t>授课方式采用线上线下灵活教学方式，社会在职人员可以边学习边工作，灵活学习</w:t>
      </w:r>
      <w:r>
        <w:rPr>
          <w:rFonts w:hint="eastAsia" w:asciiTheme="minorEastAsia" w:hAnsiTheme="minorEastAsia" w:eastAsiaTheme="minorEastAsia" w:cstheme="minorEastAsia"/>
          <w:sz w:val="21"/>
          <w:szCs w:val="21"/>
        </w:rPr>
        <w:t>；</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师资队伍</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学校大力实施“人才强校”战略，形成了一支理想信念坚定、道德情操高尚、知识功底扎实、富有仁爱之心的教</w:t>
      </w:r>
      <w:r>
        <w:rPr>
          <w:rFonts w:hint="eastAsia" w:asciiTheme="minorEastAsia" w:hAnsiTheme="minorEastAsia" w:eastAsiaTheme="minorEastAsia" w:cstheme="minorEastAsia"/>
          <w:b w:val="0"/>
          <w:bCs w:val="0"/>
          <w:sz w:val="21"/>
          <w:szCs w:val="21"/>
          <w:lang w:val="en-US" w:eastAsia="zh-CN"/>
        </w:rPr>
        <w:t>师队</w:t>
      </w:r>
      <w:r>
        <w:rPr>
          <w:rFonts w:hint="eastAsia" w:asciiTheme="minorEastAsia" w:hAnsiTheme="minorEastAsia" w:eastAsiaTheme="minorEastAsia" w:cstheme="minorEastAsia"/>
          <w:sz w:val="21"/>
          <w:szCs w:val="21"/>
          <w:lang w:val="en-US" w:eastAsia="zh-CN"/>
        </w:rPr>
        <w:t>伍；</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【弹性学制】</w:t>
      </w:r>
      <w:r>
        <w:rPr>
          <w:rFonts w:hint="eastAsia" w:asciiTheme="minorEastAsia" w:hAnsiTheme="minorEastAsia" w:eastAsiaTheme="minorEastAsia" w:cstheme="minorEastAsia"/>
          <w:b w:val="0"/>
          <w:bCs w:val="0"/>
          <w:sz w:val="21"/>
          <w:szCs w:val="21"/>
          <w:lang w:val="en-US" w:eastAsia="zh-CN"/>
        </w:rPr>
        <w:t>：完成课业安排，只要达到申硕条件者，可申请每年参加同等学力申硕考试；</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结交高端人脉</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可享受与在校生同等的电子数据资源，获得校友人脉资源，结交高端人脉。</w:t>
      </w:r>
    </w:p>
    <w:p>
      <w:pPr>
        <w:pStyle w:val="4"/>
        <w:widowControl/>
        <w:numPr>
          <w:ilvl w:val="0"/>
          <w:numId w:val="0"/>
        </w:numPr>
        <w:snapToGrid w:val="0"/>
        <w:spacing w:before="100" w:beforeAutospacing="1" w:after="100" w:afterAutospacing="1" w:line="360" w:lineRule="auto"/>
        <w:contextualSpacing/>
        <w:jc w:val="left"/>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课程设置：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3"/>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工商管理</w:t>
            </w:r>
            <w:r>
              <w:rPr>
                <w:rFonts w:hint="eastAsia" w:asciiTheme="minorEastAsia" w:hAnsiTheme="minorEastAsia" w:eastAsiaTheme="minorEastAsia" w:cstheme="minorEastAsia"/>
                <w:b/>
                <w:sz w:val="21"/>
                <w:szCs w:val="21"/>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公共学位课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中国特色社会主义理论与实践</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基础</w:t>
            </w:r>
            <w:r>
              <w:rPr>
                <w:rFonts w:hint="eastAsia" w:asciiTheme="minorEastAsia" w:hAnsiTheme="minorEastAsia" w:eastAsiaTheme="minorEastAsia" w:cstheme="minorEastAsia"/>
                <w:sz w:val="21"/>
                <w:szCs w:val="21"/>
                <w:lang w:val="en-US"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马克思主义与社会科学方法论</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必修课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管理研究方法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中级宏观经济学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公司治理理论</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战略研究与分析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技术经济及管理前沿</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财务会计理论与实务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选修课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创新思维原理与方法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商业伦理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旅游管理前沿</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消费者行为理论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人力资源开发与管理</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审计理论与实务</w:t>
            </w:r>
          </w:p>
        </w:tc>
      </w:tr>
    </w:tbl>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注：部分课程教学参照</w:t>
      </w:r>
      <w:r>
        <w:rPr>
          <w:rFonts w:hint="eastAsia" w:asciiTheme="minorEastAsia" w:hAnsiTheme="minorEastAsia" w:eastAsiaTheme="minorEastAsia" w:cstheme="minorEastAsia"/>
          <w:sz w:val="21"/>
          <w:szCs w:val="21"/>
          <w:lang w:val="en-US" w:eastAsia="zh-CN"/>
        </w:rPr>
        <w:t>实际</w:t>
      </w: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报名条件：</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拥护中华人民共和国宪法，遵守法律、法规，品行端正，在教学、科研、管理、行政、金融、商业等各个领域拥有一定工作经验和工作业绩的在职人员。</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报名人员必须符合下列条件之一：</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大学本科毕业，获得本科毕业证书及学士学位（申请硕士学位须满3年）；</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已获得硕士或博士学位；</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已获得的学位为国（境）外学位的，须经教育部留学服务中心认证。</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本科毕业无学士学位，或大专学历者，可申请参加课程学习，修满学分可获得同等学力申请硕士学位课程结业证书，但不能申请硕士学位。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leftChars="1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本人身份证、本科毕业证、学士学位证书、2寸蓝底彩色照片；</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申请人在教学、科研、专门技术、管理方面做出成绩的有效证明材料；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val="0"/>
          <w:bCs w:val="0"/>
          <w:sz w:val="21"/>
          <w:szCs w:val="21"/>
          <w:lang w:val="en-US" w:eastAsia="zh-CN"/>
        </w:rPr>
        <w:t>申请报名登记表、《诚信承诺书》。</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leftChars="200"/>
        <w:contextualSpacing/>
        <w:jc w:val="left"/>
        <w:textAlignment w:val="auto"/>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b/>
          <w:bCs/>
          <w:sz w:val="21"/>
          <w:szCs w:val="21"/>
          <w:lang w:val="en-US" w:eastAsia="zh-CN"/>
        </w:rPr>
        <w:t>培养方式和学制：</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教学方式：采用线上/线下授课，</w:t>
      </w:r>
      <w:r>
        <w:rPr>
          <w:rFonts w:hint="eastAsia" w:ascii="仿宋" w:hAnsi="仿宋" w:cs="仿宋"/>
          <w:b w:val="0"/>
          <w:bCs w:val="0"/>
          <w:color w:val="000000"/>
          <w:spacing w:val="1"/>
          <w:sz w:val="21"/>
          <w:szCs w:val="21"/>
          <w:lang w:val="en-US" w:eastAsia="zh-CN"/>
        </w:rPr>
        <w:t>（授课采取线上为主的方式教学）</w:t>
      </w:r>
      <w:r>
        <w:rPr>
          <w:rFonts w:hint="eastAsia" w:asciiTheme="minorEastAsia" w:hAnsiTheme="minorEastAsia" w:eastAsiaTheme="minorEastAsia" w:cstheme="minorEastAsia"/>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弹性学制：</w:t>
      </w:r>
      <w:bookmarkStart w:id="0" w:name="_GoBack"/>
      <w:r>
        <w:rPr>
          <w:rFonts w:hint="eastAsia" w:asciiTheme="minorEastAsia" w:hAnsiTheme="minorEastAsia" w:eastAsiaTheme="minorEastAsia" w:cstheme="minorEastAsia"/>
          <w:sz w:val="21"/>
          <w:szCs w:val="21"/>
          <w:lang w:val="en-US" w:eastAsia="zh-CN"/>
        </w:rPr>
        <w:t xml:space="preserve">2年 -6年  </w:t>
      </w:r>
    </w:p>
    <w:bookmarkEnd w:id="0"/>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contextualSpacing/>
        <w:jc w:val="left"/>
        <w:textAlignment w:val="auto"/>
        <w:rPr>
          <w:rFonts w:hint="eastAsia" w:asciiTheme="minorEastAsia" w:hAnsiTheme="minorEastAsia" w:eastAsiaTheme="minorEastAsia" w:cstheme="minorEastAsia"/>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获取证书：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firstLine="315" w:firstLineChars="150"/>
        <w:contextualSpacing/>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学员通过所报专业硕士研究生所有必修课程和选修课程考试，修满学分成绩合格，课程学习结束时发给武汉轻工大学硕士研究生课程班结业证书。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left="0" w:leftChars="0" w:firstLine="315" w:firstLineChars="150"/>
        <w:contextualSpacing/>
        <w:textAlignment w:val="auto"/>
        <w:rPr>
          <w:rFonts w:hint="eastAsia" w:asciiTheme="minorEastAsia" w:hAnsiTheme="minorEastAsia" w:cstheme="minorEastAsia"/>
          <w:kern w:val="0"/>
          <w:sz w:val="21"/>
          <w:szCs w:val="21"/>
          <w:lang w:val="en-US" w:eastAsia="zh-CN" w:bidi="ar-SA"/>
        </w:rPr>
      </w:pPr>
      <w:r>
        <w:rPr>
          <w:rFonts w:hint="eastAsia" w:asciiTheme="minorEastAsia" w:hAnsiTheme="minorEastAsia" w:cstheme="minorEastAsia"/>
          <w:kern w:val="0"/>
          <w:sz w:val="21"/>
          <w:szCs w:val="21"/>
          <w:lang w:val="en-US" w:eastAsia="zh-CN" w:bidi="ar-SA"/>
        </w:rPr>
        <w:t>完成所有课程学习并且考核合格这，满足同等学力申请硕士学位条件学员，可参加全国统一考试，成绩合格达标者可进入学位论文写作阶段，论文通过评审、答辩，并经由我校学位评定委员会批准，可授予武汉轻工大学硕士学位。</w:t>
      </w:r>
    </w:p>
    <w:p>
      <w:pPr>
        <w:pStyle w:val="4"/>
        <w:keepNext w:val="0"/>
        <w:keepLines w:val="0"/>
        <w:pageBreakBefore w:val="0"/>
        <w:widowControl/>
        <w:numPr>
          <w:ilvl w:val="0"/>
          <w:numId w:val="0"/>
        </w:numPr>
        <w:kinsoku/>
        <w:wordWrap/>
        <w:overflowPunct/>
        <w:topLinePunct w:val="0"/>
        <w:autoSpaceDE/>
        <w:autoSpaceDN/>
        <w:bidi w:val="0"/>
        <w:adjustRightInd/>
        <w:snapToGrid w:val="0"/>
        <w:spacing w:line="480" w:lineRule="auto"/>
        <w:ind w:leftChars="150"/>
        <w:contextualSpacing/>
        <w:textAlignment w:val="auto"/>
        <w:rPr>
          <w:rFonts w:hint="eastAsia" w:asciiTheme="minorEastAsia" w:hAnsiTheme="minorEastAsia" w:cstheme="minorEastAsia"/>
          <w:kern w:val="0"/>
          <w:sz w:val="21"/>
          <w:szCs w:val="21"/>
          <w:lang w:val="en-US" w:eastAsia="zh-CN" w:bidi="ar-SA"/>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收费标准：</w:t>
      </w:r>
    </w:p>
    <w:p>
      <w:pPr>
        <w:pStyle w:val="4"/>
        <w:numPr>
          <w:ilvl w:val="0"/>
          <w:numId w:val="0"/>
        </w:numPr>
        <w:snapToGrid w:val="0"/>
        <w:spacing w:line="360" w:lineRule="auto"/>
        <w:ind w:firstLine="420" w:firstLineChars="200"/>
        <w:contextualSpacing/>
        <w:rPr>
          <w:rFonts w:hint="eastAsia" w:asciiTheme="minorEastAsia" w:hAnsiTheme="minorEastAsia" w:eastAsiaTheme="minorEastAsia"/>
          <w:b/>
          <w:bCs/>
          <w:sz w:val="21"/>
          <w:szCs w:val="21"/>
          <w:lang w:val="en-US" w:eastAsia="zh-CN"/>
        </w:rPr>
      </w:pPr>
      <w:r>
        <w:rPr>
          <w:rFonts w:hint="eastAsia" w:ascii="宋体" w:hAnsi="宋体" w:eastAsia="宋体" w:cs="宋体"/>
          <w:b w:val="0"/>
          <w:bCs/>
          <w:color w:val="auto"/>
          <w:sz w:val="21"/>
          <w:szCs w:val="21"/>
          <w:lang w:val="en-US" w:eastAsia="zh-CN"/>
        </w:rPr>
        <w:t>学费缴纳分两段制进行，即课程学习阶段和撰写学位论文和论文答辩阶段，</w:t>
      </w:r>
      <w:r>
        <w:rPr>
          <w:rFonts w:hint="eastAsia" w:asciiTheme="minorEastAsia" w:hAnsiTheme="minorEastAsia" w:cstheme="minorEastAsia"/>
          <w:kern w:val="0"/>
          <w:sz w:val="21"/>
          <w:szCs w:val="21"/>
          <w:lang w:val="en-US" w:eastAsia="zh-CN" w:bidi="ar-SA"/>
        </w:rPr>
        <w:t>第一阶段：学费12000元和课程学习费用10000元；第二阶段：论文答辩16000元。</w:t>
      </w:r>
    </w:p>
    <w:p>
      <w:pPr>
        <w:pStyle w:val="4"/>
        <w:widowControl/>
        <w:numPr>
          <w:ilvl w:val="0"/>
          <w:numId w:val="0"/>
        </w:numPr>
        <w:snapToGrid w:val="0"/>
        <w:spacing w:before="100" w:beforeAutospacing="1" w:after="100" w:afterAutospacing="1" w:line="360" w:lineRule="auto"/>
        <w:contextualSpacing/>
        <w:jc w:val="left"/>
        <w:rPr>
          <w:rFonts w:hint="eastAsia" w:asciiTheme="minorEastAsia" w:hAnsiTheme="minorEastAsia" w:eastAsiaTheme="minorEastAsia"/>
          <w:b/>
          <w:bCs/>
          <w:sz w:val="21"/>
          <w:szCs w:val="21"/>
          <w:lang w:val="en-US" w:eastAsia="zh-CN"/>
        </w:rPr>
      </w:pPr>
    </w:p>
    <w:p>
      <w:pPr>
        <w:pStyle w:val="4"/>
        <w:numPr>
          <w:ilvl w:val="0"/>
          <w:numId w:val="0"/>
        </w:numPr>
        <w:snapToGrid w:val="0"/>
        <w:spacing w:line="360" w:lineRule="auto"/>
        <w:ind w:firstLine="480" w:firstLineChars="200"/>
        <w:contextualSpacing/>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19700"/>
          <wp:effectExtent l="0" t="0" r="2540" b="0"/>
          <wp:wrapNone/>
          <wp:docPr id="3" name="WordPictureWatermark25249" descr="武汉轻工大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5249" descr="武汉轻工大学1"/>
                  <pic:cNvPicPr>
                    <a:picLocks noChangeAspect="1"/>
                  </pic:cNvPicPr>
                </pic:nvPicPr>
                <pic:blipFill>
                  <a:blip r:embed="rId1">
                    <a:lum bright="69998" contrast="-70001"/>
                  </a:blip>
                  <a:stretch>
                    <a:fillRect/>
                  </a:stretch>
                </pic:blipFill>
                <pic:spPr>
                  <a:xfrm>
                    <a:off x="0" y="0"/>
                    <a:ext cx="5274310" cy="5219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B78AB"/>
    <w:multiLevelType w:val="singleLevel"/>
    <w:tmpl w:val="B3FB78AB"/>
    <w:lvl w:ilvl="0" w:tentative="0">
      <w:start w:val="1"/>
      <w:numFmt w:val="decimal"/>
      <w:suff w:val="nothing"/>
      <w:lvlText w:val="%1、"/>
      <w:lvlJc w:val="left"/>
    </w:lvl>
  </w:abstractNum>
  <w:abstractNum w:abstractNumId="1">
    <w:nsid w:val="BA04DF7C"/>
    <w:multiLevelType w:val="singleLevel"/>
    <w:tmpl w:val="BA04DF7C"/>
    <w:lvl w:ilvl="0" w:tentative="0">
      <w:start w:val="1"/>
      <w:numFmt w:val="decimal"/>
      <w:suff w:val="nothing"/>
      <w:lvlText w:val="%1、"/>
      <w:lvlJc w:val="left"/>
      <w:pPr>
        <w:ind w:left="210" w:leftChars="0" w:firstLine="0" w:firstLineChars="0"/>
      </w:pPr>
    </w:lvl>
  </w:abstractNum>
  <w:abstractNum w:abstractNumId="2">
    <w:nsid w:val="C000E8B9"/>
    <w:multiLevelType w:val="singleLevel"/>
    <w:tmpl w:val="C000E8B9"/>
    <w:lvl w:ilvl="0" w:tentative="0">
      <w:start w:val="1"/>
      <w:numFmt w:val="decimal"/>
      <w:suff w:val="nothing"/>
      <w:lvlText w:val="%1、"/>
      <w:lvlJc w:val="left"/>
      <w:pPr>
        <w:ind w:left="-212"/>
      </w:pPr>
      <w:rPr>
        <w:rFonts w:hint="default"/>
        <w:b/>
        <w:bCs/>
      </w:rPr>
    </w:lvl>
  </w:abstractNum>
  <w:abstractNum w:abstractNumId="3">
    <w:nsid w:val="FD979A40"/>
    <w:multiLevelType w:val="singleLevel"/>
    <w:tmpl w:val="FD979A40"/>
    <w:lvl w:ilvl="0" w:tentative="0">
      <w:start w:val="1"/>
      <w:numFmt w:val="chineseCounting"/>
      <w:suff w:val="nothing"/>
      <w:lvlText w:val="%1、"/>
      <w:lvlJc w:val="left"/>
      <w:rPr>
        <w:rFonts w:hint="eastAsia"/>
        <w:b/>
        <w:bCs/>
      </w:rPr>
    </w:lvl>
  </w:abstractNum>
  <w:abstractNum w:abstractNumId="4">
    <w:nsid w:val="0839793D"/>
    <w:multiLevelType w:val="singleLevel"/>
    <w:tmpl w:val="0839793D"/>
    <w:lvl w:ilvl="0" w:tentative="0">
      <w:start w:val="1"/>
      <w:numFmt w:val="decimal"/>
      <w:suff w:val="nothing"/>
      <w:lvlText w:val="（%1）"/>
      <w:lvlJc w:val="left"/>
    </w:lvl>
  </w:abstractNum>
  <w:abstractNum w:abstractNumId="5">
    <w:nsid w:val="4BE3664B"/>
    <w:multiLevelType w:val="singleLevel"/>
    <w:tmpl w:val="4BE3664B"/>
    <w:lvl w:ilvl="0" w:tentative="0">
      <w:start w:val="1"/>
      <w:numFmt w:val="decimal"/>
      <w:suff w:val="nothing"/>
      <w:lvlText w:val="%1、"/>
      <w:lvlJc w:val="left"/>
      <w:pPr>
        <w:ind w:left="316" w:leftChars="0" w:firstLine="0" w:firstLineChars="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ECE6E3A"/>
    <w:rsid w:val="0F537BD5"/>
    <w:rsid w:val="11AD4468"/>
    <w:rsid w:val="22721B2C"/>
    <w:rsid w:val="23BB208A"/>
    <w:rsid w:val="2C4527D5"/>
    <w:rsid w:val="2DAA4A7C"/>
    <w:rsid w:val="301937F3"/>
    <w:rsid w:val="33BD52AE"/>
    <w:rsid w:val="36DD1A1E"/>
    <w:rsid w:val="37441A9D"/>
    <w:rsid w:val="3BD96051"/>
    <w:rsid w:val="3E537B66"/>
    <w:rsid w:val="3ECE6E3A"/>
    <w:rsid w:val="40CB5A7A"/>
    <w:rsid w:val="41E22296"/>
    <w:rsid w:val="49C37F7C"/>
    <w:rsid w:val="49CD1DFA"/>
    <w:rsid w:val="4A0D4904"/>
    <w:rsid w:val="5338350A"/>
    <w:rsid w:val="540B13F1"/>
    <w:rsid w:val="572C0651"/>
    <w:rsid w:val="5A002E53"/>
    <w:rsid w:val="5D583B74"/>
    <w:rsid w:val="5F530220"/>
    <w:rsid w:val="5FE92FD3"/>
    <w:rsid w:val="625F4321"/>
    <w:rsid w:val="6328144F"/>
    <w:rsid w:val="642F291A"/>
    <w:rsid w:val="7289235E"/>
    <w:rsid w:val="757C2F18"/>
    <w:rsid w:val="78CF226D"/>
    <w:rsid w:val="7975353D"/>
    <w:rsid w:val="7B7B202A"/>
    <w:rsid w:val="7C7853F7"/>
    <w:rsid w:val="7D894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1726</Words>
  <Characters>1769</Characters>
  <Lines>0</Lines>
  <Paragraphs>0</Paragraphs>
  <TotalTime>11</TotalTime>
  <ScaleCrop>false</ScaleCrop>
  <LinksUpToDate>false</LinksUpToDate>
  <CharactersWithSpaces>1776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2022-09-05T01:10:00Z</dcterms:created>
  <dc:creator>Administrator</dc:creator>
  <cp:lastModifiedBy>冰冰⊙▽⊙＊</cp:lastModifiedBy>
  <dcterms:modified xsi:type="dcterms:W3CDTF">2022-09-21T14:50:12Z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31E3C96669404278867A2B1C8471A7AA</vt:lpwstr>
  </property>
</Properties>
</file>