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drawing>
          <wp:inline distT="0" distB="0" distL="114300" distR="114300">
            <wp:extent cx="5271135" cy="13335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135" cy="1333500"/>
                    </a:xfrm>
                    <a:prstGeom prst="rect">
                      <a:avLst/>
                    </a:prstGeom>
                    <a:noFill/>
                    <a:ln>
                      <a:noFill/>
                    </a:ln>
                  </pic:spPr>
                </pic:pic>
              </a:graphicData>
            </a:graphic>
          </wp:inline>
        </w:drawing>
      </w:r>
    </w:p>
    <w:p/>
    <w:p/>
    <w:p>
      <w:pPr>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沈阳医学院同等学力申请硕士学位公共卫生与预防医学专业招生简章</w:t>
      </w:r>
    </w:p>
    <w:p>
      <w:pPr>
        <w:jc w:val="both"/>
        <w:rPr>
          <w:rFonts w:hint="eastAsia" w:asciiTheme="minorEastAsia" w:hAnsiTheme="minorEastAsia" w:cstheme="minorEastAsia"/>
          <w:b/>
          <w:bCs/>
          <w:sz w:val="36"/>
          <w:szCs w:val="36"/>
          <w:lang w:val="en-US" w:eastAsia="zh-CN"/>
        </w:rPr>
      </w:pPr>
    </w:p>
    <w:p>
      <w:pPr>
        <w:numPr>
          <w:ilvl w:val="0"/>
          <w:numId w:val="1"/>
        </w:numPr>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院校简介：</w:t>
      </w:r>
    </w:p>
    <w:p>
      <w:pPr>
        <w:snapToGrid w:val="0"/>
        <w:spacing w:line="360" w:lineRule="auto"/>
        <w:ind w:firstLine="525" w:firstLineChars="250"/>
        <w:contextualSpacing/>
        <w:rPr>
          <w:rFonts w:hint="eastAsia" w:asciiTheme="minorEastAsia" w:hAnsiTheme="minorEastAsia" w:eastAsiaTheme="minorEastAsia" w:cstheme="minorEastAsia"/>
          <w:sz w:val="21"/>
          <w:szCs w:val="21"/>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auto"/>
        <w:ind w:firstLine="525" w:firstLineChars="25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沈阳医学院是教育部批准的全日制普通高等学校。建校72年来，学校实施特色发展、错位发展、转型发展和内涵发展战略，现已发展成为一所以医学为主，多门类、多层次、多种办学形式的市属普通高等院校。</w:t>
      </w:r>
    </w:p>
    <w:p>
      <w:pPr>
        <w:keepNext w:val="0"/>
        <w:keepLines w:val="0"/>
        <w:pageBreakBefore w:val="0"/>
        <w:widowControl w:val="0"/>
        <w:kinsoku/>
        <w:wordWrap/>
        <w:overflowPunct/>
        <w:topLinePunct w:val="0"/>
        <w:autoSpaceDE/>
        <w:autoSpaceDN/>
        <w:bidi w:val="0"/>
        <w:adjustRightInd/>
        <w:snapToGrid w:val="0"/>
        <w:spacing w:line="480" w:lineRule="auto"/>
        <w:ind w:firstLine="525" w:firstLineChars="250"/>
        <w:contextualSpacing/>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沈阳医学院师资力量雄厚，教学科研条件完善。学校设有基础医学、公共卫生与预防医学两个一级硕士学位授权点和临床医学专业硕士学位授权点，涵盖24个二级学科和领域。学校与大连医科大学联合培养临床医学专业博士研究生。学校建有市政府特邀院士工作站，是全国示范院士专家工作站、辽宁省示范院士专家工作站。附属中心医院手外科为博士后科研工作站。建有诺贝尔生理学或医学奖获得者斐里德·穆拉德工作站。拥有辽宁省重点实验室5个，沈阳市重点实验室9个，沈阳市工程中心1个，沈阳市临床医学研究中心2个。</w:t>
      </w:r>
    </w:p>
    <w:p>
      <w:pPr>
        <w:keepNext w:val="0"/>
        <w:keepLines w:val="0"/>
        <w:pageBreakBefore w:val="0"/>
        <w:widowControl w:val="0"/>
        <w:kinsoku/>
        <w:wordWrap/>
        <w:overflowPunct/>
        <w:topLinePunct w:val="0"/>
        <w:autoSpaceDE/>
        <w:autoSpaceDN/>
        <w:bidi w:val="0"/>
        <w:adjustRightInd/>
        <w:snapToGrid w:val="0"/>
        <w:spacing w:line="480" w:lineRule="auto"/>
        <w:ind w:firstLine="315" w:firstLineChars="150"/>
        <w:contextualSpacing/>
        <w:textAlignment w:val="auto"/>
        <w:rPr>
          <w:rFonts w:hint="eastAsia" w:asciiTheme="minorEastAsia" w:hAnsiTheme="minorEastAsia" w:cstheme="minorEastAsia"/>
          <w:b/>
          <w:bCs/>
          <w:sz w:val="24"/>
          <w:szCs w:val="24"/>
          <w:lang w:val="en-US" w:eastAsia="zh-CN"/>
        </w:rPr>
      </w:pPr>
      <w:r>
        <w:rPr>
          <w:rFonts w:hint="eastAsia" w:asciiTheme="minorEastAsia" w:hAnsiTheme="minorEastAsia" w:eastAsiaTheme="minorEastAsia" w:cstheme="minorEastAsia"/>
          <w:sz w:val="21"/>
          <w:szCs w:val="21"/>
          <w:lang w:val="en-US" w:eastAsia="zh-CN"/>
        </w:rPr>
        <w:t>沈阳医学院有两所直属附属医院，非直属附属医院18个。直属附属中心医院和附属第二医院（辽宁省退役军人总医院、沈阳市心血管病医院）为三级甲等医院、国家级住院医师规范化培训基地、国家级全科医学临床培训基地。</w:t>
      </w:r>
      <w:r>
        <w:rPr>
          <w:rFonts w:hint="eastAsia" w:asciiTheme="minorEastAsia" w:hAnsiTheme="minorEastAsia" w:cstheme="minorEastAsia"/>
          <w:sz w:val="21"/>
          <w:szCs w:val="21"/>
          <w:lang w:val="en-US" w:eastAsia="zh-CN"/>
        </w:rPr>
        <w:t>为了给社会输送更多的优秀医学人才，目前我校特开放了公共卫生与预防医学专业的流行病与卫生统计学、劳动卫生与环境卫生学、营养与食品卫生学、儿少卫生与妇幼保健学、卫生毒理学五门专业的同等学力人员申请硕士学位课程班，用以培养更多的医学人才。</w:t>
      </w: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培养目标：</w:t>
      </w:r>
    </w:p>
    <w:p>
      <w:pPr>
        <w:widowControl w:val="0"/>
        <w:numPr>
          <w:ilvl w:val="0"/>
          <w:numId w:val="0"/>
        </w:numPr>
        <w:jc w:val="both"/>
        <w:rPr>
          <w:rFonts w:hint="eastAsia" w:asciiTheme="minorEastAsia" w:hAnsiTheme="minorEastAsia" w:cs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本专业</w:t>
      </w:r>
      <w:r>
        <w:rPr>
          <w:rFonts w:hint="eastAsia" w:asciiTheme="minorEastAsia" w:hAnsiTheme="minorEastAsia" w:cstheme="minorEastAsia"/>
          <w:sz w:val="21"/>
          <w:szCs w:val="21"/>
          <w:lang w:val="en-US" w:eastAsia="zh-CN"/>
        </w:rPr>
        <w:t>主要是</w:t>
      </w:r>
      <w:r>
        <w:rPr>
          <w:rFonts w:hint="eastAsia" w:asciiTheme="minorEastAsia" w:hAnsiTheme="minorEastAsia" w:eastAsiaTheme="minorEastAsia" w:cstheme="minorEastAsia"/>
          <w:sz w:val="21"/>
          <w:szCs w:val="21"/>
          <w:lang w:val="en-US" w:eastAsia="zh-CN"/>
        </w:rPr>
        <w:t>培养具有扎实的公共卫生与预防医学基础理论和系统的专门知识，熟悉并掌握实验技能，了解该学科的国内外研究状况、发展前沿及与相关学科的交叉渗透。熟练掌握专业外</w:t>
      </w:r>
      <w:r>
        <w:rPr>
          <w:rFonts w:hint="eastAsia" w:asciiTheme="minorEastAsia" w:hAnsiTheme="minorEastAsia" w:cstheme="minorEastAsia"/>
          <w:sz w:val="21"/>
          <w:szCs w:val="21"/>
          <w:lang w:val="en-US" w:eastAsia="zh-CN"/>
        </w:rPr>
        <w:t>语，</w:t>
      </w:r>
      <w:r>
        <w:rPr>
          <w:rFonts w:hint="eastAsia" w:asciiTheme="minorEastAsia" w:hAnsiTheme="minorEastAsia" w:eastAsiaTheme="minorEastAsia" w:cstheme="minorEastAsia"/>
          <w:sz w:val="21"/>
          <w:szCs w:val="21"/>
          <w:lang w:val="en-US" w:eastAsia="zh-CN"/>
        </w:rPr>
        <w:t>可进行一般的学术交流</w:t>
      </w:r>
      <w:r>
        <w:rPr>
          <w:rFonts w:hint="eastAsia" w:asciiTheme="minorEastAsia" w:hAnsiTheme="minorEastAsia" w:cstheme="minorEastAsia"/>
          <w:sz w:val="21"/>
          <w:szCs w:val="21"/>
          <w:lang w:val="en-US" w:eastAsia="zh-CN"/>
        </w:rPr>
        <w:t>和文献查阅，</w:t>
      </w:r>
      <w:r>
        <w:rPr>
          <w:rFonts w:hint="eastAsia" w:asciiTheme="minorEastAsia" w:hAnsiTheme="minorEastAsia" w:eastAsiaTheme="minorEastAsia" w:cstheme="minorEastAsia"/>
          <w:sz w:val="21"/>
          <w:szCs w:val="21"/>
          <w:lang w:val="en-US" w:eastAsia="zh-CN"/>
        </w:rPr>
        <w:t>具有开拓创新</w:t>
      </w:r>
      <w:r>
        <w:rPr>
          <w:rFonts w:hint="eastAsia" w:asciiTheme="minorEastAsia" w:hAnsiTheme="minorEastAsia" w:cstheme="minorEastAsia"/>
          <w:sz w:val="21"/>
          <w:szCs w:val="21"/>
          <w:lang w:val="en-US" w:eastAsia="zh-CN"/>
        </w:rPr>
        <w:t>能力，培养</w:t>
      </w:r>
      <w:r>
        <w:rPr>
          <w:rFonts w:hint="eastAsia" w:asciiTheme="minorEastAsia" w:hAnsiTheme="minorEastAsia" w:eastAsiaTheme="minorEastAsia" w:cstheme="minorEastAsia"/>
          <w:sz w:val="21"/>
          <w:szCs w:val="21"/>
          <w:lang w:val="en-US" w:eastAsia="zh-CN"/>
        </w:rPr>
        <w:t>能够独立</w:t>
      </w:r>
      <w:r>
        <w:rPr>
          <w:rFonts w:hint="eastAsia" w:asciiTheme="minorEastAsia" w:hAnsiTheme="minorEastAsia" w:cstheme="minorEastAsia"/>
          <w:sz w:val="21"/>
          <w:szCs w:val="21"/>
          <w:lang w:val="en-US" w:eastAsia="zh-CN"/>
        </w:rPr>
        <w:t>从事</w:t>
      </w:r>
      <w:r>
        <w:rPr>
          <w:rFonts w:hint="eastAsia" w:asciiTheme="minorEastAsia" w:hAnsiTheme="minorEastAsia" w:eastAsiaTheme="minorEastAsia" w:cstheme="minorEastAsia"/>
          <w:sz w:val="21"/>
          <w:szCs w:val="21"/>
          <w:lang w:val="en-US" w:eastAsia="zh-CN"/>
        </w:rPr>
        <w:t>公共卫生与预防医学领域的科学研究、教学工作或担任专门技术工作</w:t>
      </w:r>
      <w:r>
        <w:rPr>
          <w:rFonts w:hint="eastAsia" w:asciiTheme="minorEastAsia" w:hAnsiTheme="minorEastAsia" w:cstheme="minorEastAsia"/>
          <w:sz w:val="21"/>
          <w:szCs w:val="21"/>
          <w:lang w:val="en-US" w:eastAsia="zh-CN"/>
        </w:rPr>
        <w:t>的专业型医学人才</w:t>
      </w:r>
      <w:r>
        <w:rPr>
          <w:rFonts w:hint="eastAsia" w:asciiTheme="minorEastAsia" w:hAnsiTheme="minorEastAsia" w:eastAsiaTheme="minorEastAsia" w:cstheme="minorEastAsia"/>
          <w:sz w:val="21"/>
          <w:szCs w:val="21"/>
          <w:lang w:val="en-US" w:eastAsia="zh-CN"/>
        </w:rPr>
        <w:t>。</w:t>
      </w:r>
    </w:p>
    <w:p>
      <w:pPr>
        <w:widowControl w:val="0"/>
        <w:numPr>
          <w:ilvl w:val="0"/>
          <w:numId w:val="0"/>
        </w:numPr>
        <w:jc w:val="both"/>
        <w:rPr>
          <w:rFonts w:hint="default" w:asciiTheme="minorEastAsia" w:hAnsiTheme="minorEastAsia" w:cstheme="minorEastAsia"/>
          <w:b/>
          <w:bCs/>
          <w:sz w:val="24"/>
          <w:szCs w:val="24"/>
          <w:lang w:val="en-US" w:eastAsia="zh-CN"/>
        </w:rPr>
      </w:pP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培养优势：</w:t>
      </w:r>
    </w:p>
    <w:p>
      <w:pPr>
        <w:snapToGrid w:val="0"/>
        <w:spacing w:line="360" w:lineRule="auto"/>
        <w:ind w:firstLine="525" w:firstLineChars="250"/>
        <w:contextualSpacing/>
        <w:rPr>
          <w:rFonts w:hint="eastAsia" w:asciiTheme="minorEastAsia" w:hAnsi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1、免试入学：</w:t>
      </w:r>
      <w:r>
        <w:rPr>
          <w:rFonts w:hint="eastAsia" w:asciiTheme="minorEastAsia" w:hAnsiTheme="minorEastAsia" w:eastAsiaTheme="minorEastAsia" w:cstheme="minorEastAsia"/>
          <w:sz w:val="21"/>
          <w:szCs w:val="21"/>
          <w:lang w:val="en-US" w:eastAsia="zh-CN"/>
        </w:rPr>
        <w:t>大学本科学历获得学士学位，并获得学士学位后工作三年以上社会人士即可报名参加，先学习再考试，有足够充分的准备和学习课程的时间；</w:t>
      </w: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2、专业优势:</w:t>
      </w:r>
      <w:r>
        <w:rPr>
          <w:rFonts w:hint="eastAsia" w:asciiTheme="minorEastAsia" w:hAnsiTheme="minorEastAsia" w:cstheme="minorEastAsia"/>
          <w:b/>
          <w:bCs/>
          <w:sz w:val="21"/>
          <w:szCs w:val="21"/>
          <w:lang w:val="en-US" w:eastAsia="zh-CN"/>
        </w:rPr>
        <w:t xml:space="preserve"> </w:t>
      </w:r>
      <w:r>
        <w:rPr>
          <w:rFonts w:hint="eastAsia" w:asciiTheme="minorEastAsia" w:hAnsiTheme="minorEastAsia" w:eastAsiaTheme="minorEastAsia" w:cstheme="minorEastAsia"/>
          <w:sz w:val="21"/>
          <w:szCs w:val="21"/>
          <w:lang w:val="en-US" w:eastAsia="zh-CN"/>
        </w:rPr>
        <w:t>学校设有基础医学、公共卫生与预防医学两个一级硕士学位授权点和临床医学专业硕士学位授权点，涵盖21个二级学科和领域。</w:t>
      </w: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3、师资队伍：</w:t>
      </w:r>
      <w:r>
        <w:rPr>
          <w:rFonts w:hint="eastAsia" w:asciiTheme="minorEastAsia" w:hAnsiTheme="minorEastAsia" w:eastAsiaTheme="minorEastAsia" w:cstheme="minorEastAsia"/>
          <w:sz w:val="21"/>
          <w:szCs w:val="21"/>
          <w:lang w:val="en-US" w:eastAsia="zh-CN"/>
        </w:rPr>
        <w:t>学校师资丰厚，具有硕士以上学位教师占教师总数比例达到92.08％，具有博士学位教师数占教师总数比例达到50.44％；</w:t>
      </w: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4、国际合作：</w:t>
      </w:r>
      <w:r>
        <w:rPr>
          <w:rFonts w:hint="eastAsia" w:asciiTheme="minorEastAsia" w:hAnsiTheme="minorEastAsia" w:eastAsiaTheme="minorEastAsia" w:cstheme="minorEastAsia"/>
          <w:sz w:val="21"/>
          <w:szCs w:val="21"/>
          <w:lang w:val="en-US" w:eastAsia="zh-CN"/>
        </w:rPr>
        <w:t>学校与美国印第安纳卫斯理大学、美国亚利桑那大学、日本名古屋市立大学、德国韦森特博士学校等医药企业建立了友好合作关系；</w:t>
      </w: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5、科研优势：</w:t>
      </w:r>
      <w:r>
        <w:rPr>
          <w:rFonts w:hint="eastAsia" w:asciiTheme="minorEastAsia" w:hAnsiTheme="minorEastAsia" w:eastAsiaTheme="minorEastAsia" w:cstheme="minorEastAsia"/>
          <w:sz w:val="21"/>
          <w:szCs w:val="21"/>
          <w:lang w:val="en-US" w:eastAsia="zh-CN"/>
        </w:rPr>
        <w:t>学校坚持科技强校，附属中心医院手外科为博士后科研工作站，建有诺贝尔生理学或医学奖获得者斐里德·穆拉德工作站等；</w:t>
      </w: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 xml:space="preserve"> 6、结交人脉：</w:t>
      </w:r>
      <w:r>
        <w:rPr>
          <w:rFonts w:hint="eastAsia" w:asciiTheme="minorEastAsia" w:hAnsiTheme="minorEastAsia" w:eastAsiaTheme="minorEastAsia" w:cstheme="minorEastAsia"/>
          <w:sz w:val="21"/>
          <w:szCs w:val="21"/>
          <w:lang w:val="en-US" w:eastAsia="zh-CN"/>
        </w:rPr>
        <w:t>可享受与在校生同等的校友群资源，获得优秀校友以及社会在职精英人脉。</w:t>
      </w:r>
    </w:p>
    <w:p>
      <w:pPr>
        <w:widowControl w:val="0"/>
        <w:numPr>
          <w:ilvl w:val="0"/>
          <w:numId w:val="0"/>
        </w:numPr>
        <w:jc w:val="both"/>
        <w:rPr>
          <w:rFonts w:hint="default" w:asciiTheme="minorEastAsia" w:hAnsiTheme="minorEastAsia" w:cstheme="minorEastAsia"/>
          <w:b/>
          <w:bCs/>
          <w:sz w:val="24"/>
          <w:szCs w:val="24"/>
          <w:lang w:val="en-US" w:eastAsia="zh-CN"/>
        </w:rPr>
      </w:pP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学科专业：</w:t>
      </w:r>
    </w:p>
    <w:p>
      <w:pPr>
        <w:widowControl w:val="0"/>
        <w:numPr>
          <w:ilvl w:val="0"/>
          <w:numId w:val="0"/>
        </w:numPr>
        <w:jc w:val="both"/>
        <w:rPr>
          <w:rFonts w:hint="eastAsia" w:asciiTheme="minorEastAsia" w:hAnsiTheme="minorEastAsia" w:cstheme="minorEastAsia"/>
          <w:b/>
          <w:bCs/>
          <w:sz w:val="24"/>
          <w:szCs w:val="24"/>
          <w:lang w:val="en-US" w:eastAsia="zh-CN"/>
        </w:rPr>
      </w:pPr>
    </w:p>
    <w:tbl>
      <w:tblPr>
        <w:tblStyle w:val="6"/>
        <w:tblW w:w="7825" w:type="dxa"/>
        <w:tblInd w:w="0" w:type="dxa"/>
        <w:tblLayout w:type="autofit"/>
        <w:tblCellMar>
          <w:top w:w="0" w:type="dxa"/>
          <w:left w:w="0" w:type="dxa"/>
          <w:bottom w:w="0" w:type="dxa"/>
          <w:right w:w="0" w:type="dxa"/>
        </w:tblCellMar>
      </w:tblPr>
      <w:tblGrid>
        <w:gridCol w:w="2839"/>
        <w:gridCol w:w="2493"/>
        <w:gridCol w:w="2493"/>
      </w:tblGrid>
      <w:tr>
        <w:tblPrEx>
          <w:tblCellMar>
            <w:top w:w="0" w:type="dxa"/>
            <w:left w:w="0" w:type="dxa"/>
            <w:bottom w:w="0" w:type="dxa"/>
            <w:right w:w="0" w:type="dxa"/>
          </w:tblCellMar>
        </w:tblPrEx>
        <w:trPr>
          <w:trHeight w:val="53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default" w:ascii="宋体" w:hAnsi="宋体" w:cs="宋体" w:eastAsiaTheme="minorEastAsia"/>
                <w:bCs/>
                <w:color w:val="000000"/>
                <w:sz w:val="22"/>
                <w:szCs w:val="22"/>
                <w:lang w:val="en-US" w:eastAsia="zh-CN"/>
              </w:rPr>
            </w:pPr>
            <w:r>
              <w:rPr>
                <w:rFonts w:hint="eastAsia" w:ascii="宋体" w:hAnsi="宋体" w:cs="宋体"/>
                <w:b/>
                <w:bCs w:val="0"/>
                <w:color w:val="000000"/>
                <w:sz w:val="22"/>
                <w:szCs w:val="22"/>
                <w:lang w:val="en-US" w:eastAsia="zh-CN"/>
              </w:rPr>
              <w:t>学科专业</w:t>
            </w:r>
          </w:p>
        </w:tc>
        <w:tc>
          <w:tcPr>
            <w:tcW w:w="498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cstheme="minorEastAsia"/>
                <w:b/>
                <w:bCs w:val="0"/>
                <w:color w:val="000000"/>
                <w:szCs w:val="21"/>
                <w:lang w:val="en-US" w:eastAsia="zh-CN"/>
              </w:rPr>
              <w:t>专业名称</w:t>
            </w:r>
          </w:p>
        </w:tc>
      </w:tr>
      <w:tr>
        <w:tblPrEx>
          <w:tblCellMar>
            <w:top w:w="0" w:type="dxa"/>
            <w:left w:w="0" w:type="dxa"/>
            <w:bottom w:w="0" w:type="dxa"/>
            <w:right w:w="0" w:type="dxa"/>
          </w:tblCellMar>
        </w:tblPrEx>
        <w:trPr>
          <w:trHeight w:val="528" w:hRule="atLeast"/>
        </w:trPr>
        <w:tc>
          <w:tcPr>
            <w:tcW w:w="283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宋体" w:hAnsi="宋体"/>
                <w:b w:val="0"/>
                <w:bCs/>
                <w:color w:val="000000"/>
                <w:sz w:val="22"/>
                <w:szCs w:val="18"/>
                <w:lang w:val="en-US" w:eastAsia="zh-CN"/>
              </w:rPr>
            </w:pPr>
            <w:r>
              <w:rPr>
                <w:rFonts w:hint="eastAsia" w:ascii="宋体" w:hAnsi="宋体"/>
                <w:b w:val="0"/>
                <w:bCs/>
                <w:color w:val="000000"/>
                <w:sz w:val="22"/>
                <w:szCs w:val="18"/>
                <w:lang w:val="en-US" w:eastAsia="zh-CN"/>
              </w:rPr>
              <w:t>公共卫生与预防医学</w:t>
            </w:r>
          </w:p>
          <w:p>
            <w:pPr>
              <w:spacing w:line="360" w:lineRule="auto"/>
              <w:contextualSpacing/>
              <w:jc w:val="center"/>
              <w:textAlignment w:val="center"/>
              <w:rPr>
                <w:rFonts w:hint="default" w:ascii="宋体" w:hAnsi="宋体" w:eastAsiaTheme="minorEastAsia"/>
                <w:b/>
                <w:color w:val="000000"/>
                <w:sz w:val="22"/>
                <w:szCs w:val="18"/>
                <w:lang w:val="en-US" w:eastAsia="zh-CN"/>
              </w:rPr>
            </w:pPr>
            <w:r>
              <w:rPr>
                <w:rFonts w:hint="eastAsia" w:ascii="宋体" w:hAnsi="宋体"/>
                <w:b w:val="0"/>
                <w:bCs/>
                <w:color w:val="000000"/>
                <w:sz w:val="22"/>
                <w:szCs w:val="18"/>
                <w:lang w:val="en-US" w:eastAsia="zh-CN"/>
              </w:rPr>
              <w:t>（学术学位）</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ascii="宋体" w:hAnsi="宋体"/>
                <w:color w:val="000000"/>
                <w:kern w:val="0"/>
                <w:szCs w:val="21"/>
              </w:rPr>
            </w:pPr>
            <w:r>
              <w:rPr>
                <w:rFonts w:hint="eastAsia" w:asciiTheme="minorEastAsia" w:hAnsiTheme="minorEastAsia" w:cstheme="minorEastAsia"/>
                <w:sz w:val="21"/>
                <w:szCs w:val="21"/>
                <w:lang w:val="en-US" w:eastAsia="zh-CN"/>
              </w:rPr>
              <w:t>流行病与卫生统计学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ascii="宋体" w:hAnsi="宋体"/>
                <w:color w:val="000000"/>
                <w:kern w:val="0"/>
                <w:szCs w:val="21"/>
              </w:rPr>
            </w:pPr>
            <w:r>
              <w:rPr>
                <w:rFonts w:hint="eastAsia" w:asciiTheme="minorEastAsia" w:hAnsiTheme="minorEastAsia" w:cstheme="minorEastAsia"/>
                <w:sz w:val="21"/>
                <w:szCs w:val="21"/>
                <w:lang w:val="en-US" w:eastAsia="zh-CN"/>
              </w:rPr>
              <w:t>营养与食品卫生学</w:t>
            </w:r>
          </w:p>
        </w:tc>
      </w:tr>
      <w:tr>
        <w:tblPrEx>
          <w:tblCellMar>
            <w:top w:w="0" w:type="dxa"/>
            <w:left w:w="0" w:type="dxa"/>
            <w:bottom w:w="0" w:type="dxa"/>
            <w:right w:w="0" w:type="dxa"/>
          </w:tblCellMar>
        </w:tblPrEx>
        <w:trPr>
          <w:trHeight w:val="491" w:hRule="atLeast"/>
        </w:trPr>
        <w:tc>
          <w:tcPr>
            <w:tcW w:w="2839" w:type="dxa"/>
            <w:vMerge w:val="continue"/>
            <w:tcBorders>
              <w:left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ascii="宋体" w:hAnsi="宋体"/>
                <w:b/>
                <w:color w:val="000000"/>
                <w:sz w:val="22"/>
                <w:szCs w:val="18"/>
              </w:rPr>
            </w:pP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ascii="宋体" w:hAnsi="宋体"/>
                <w:color w:val="000000"/>
                <w:kern w:val="0"/>
                <w:szCs w:val="21"/>
              </w:rPr>
            </w:pPr>
            <w:r>
              <w:rPr>
                <w:rFonts w:hint="eastAsia" w:asciiTheme="minorEastAsia" w:hAnsiTheme="minorEastAsia" w:cstheme="minorEastAsia"/>
                <w:sz w:val="21"/>
                <w:szCs w:val="21"/>
                <w:lang w:val="en-US" w:eastAsia="zh-CN"/>
              </w:rPr>
              <w:t>劳动卫生与环境卫生学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卫生毒理学</w:t>
            </w:r>
          </w:p>
        </w:tc>
      </w:tr>
      <w:tr>
        <w:tblPrEx>
          <w:tblCellMar>
            <w:top w:w="0" w:type="dxa"/>
            <w:left w:w="0" w:type="dxa"/>
            <w:bottom w:w="0" w:type="dxa"/>
            <w:right w:w="0" w:type="dxa"/>
          </w:tblCellMar>
        </w:tblPrEx>
        <w:trPr>
          <w:trHeight w:val="491" w:hRule="atLeast"/>
        </w:trPr>
        <w:tc>
          <w:tcPr>
            <w:tcW w:w="283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ascii="宋体" w:hAnsi="宋体"/>
                <w:b/>
                <w:color w:val="000000"/>
                <w:sz w:val="22"/>
                <w:szCs w:val="18"/>
              </w:rPr>
            </w:pPr>
          </w:p>
        </w:tc>
        <w:tc>
          <w:tcPr>
            <w:tcW w:w="498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儿少卫生与妇幼保健学</w:t>
            </w:r>
          </w:p>
        </w:tc>
      </w:tr>
    </w:tbl>
    <w:p>
      <w:pPr>
        <w:widowControl w:val="0"/>
        <w:numPr>
          <w:ilvl w:val="0"/>
          <w:numId w:val="0"/>
        </w:numPr>
        <w:jc w:val="both"/>
        <w:rPr>
          <w:rFonts w:hint="default" w:asciiTheme="minorEastAsia" w:hAnsiTheme="minorEastAsia" w:cstheme="minorEastAsia"/>
          <w:b/>
          <w:bCs/>
          <w:sz w:val="24"/>
          <w:szCs w:val="24"/>
          <w:lang w:val="en-US" w:eastAsia="zh-CN"/>
        </w:rPr>
      </w:pP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报考条件：</w:t>
      </w:r>
    </w:p>
    <w:p>
      <w:pPr>
        <w:widowControl w:val="0"/>
        <w:numPr>
          <w:ilvl w:val="0"/>
          <w:numId w:val="0"/>
        </w:numPr>
        <w:jc w:val="both"/>
        <w:rPr>
          <w:rFonts w:hint="eastAsia" w:asciiTheme="minorEastAsia" w:hAnsiTheme="minorEastAsia" w:cstheme="min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1、拥护中国共产党的领导，遵纪守法、品德优良。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2、本科毕业并获得学士学位。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3、获得学士学位后工作三年以上，或者虽无学士学位但已获得硕士或博士学位。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4、经本人所在工作单位同意，在申请学位的专业或相近专业做出成绩，为本单位业务骨干；身体健康，能坚持完成学业。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5、应试外语为英语。</w:t>
      </w:r>
    </w:p>
    <w:p>
      <w:pPr>
        <w:widowControl w:val="0"/>
        <w:numPr>
          <w:ilvl w:val="0"/>
          <w:numId w:val="0"/>
        </w:numPr>
        <w:jc w:val="both"/>
        <w:rPr>
          <w:rFonts w:hint="eastAsia" w:asciiTheme="minorEastAsia" w:hAnsiTheme="minorEastAsia" w:cstheme="minorEastAsia"/>
          <w:b/>
          <w:bCs/>
          <w:sz w:val="24"/>
          <w:szCs w:val="24"/>
          <w:lang w:val="en-US" w:eastAsia="zh-CN"/>
        </w:rPr>
      </w:pPr>
    </w:p>
    <w:p>
      <w:pPr>
        <w:widowControl w:val="0"/>
        <w:numPr>
          <w:ilvl w:val="0"/>
          <w:numId w:val="0"/>
        </w:numPr>
        <w:jc w:val="both"/>
        <w:rPr>
          <w:rFonts w:hint="default" w:asciiTheme="minorEastAsia" w:hAnsiTheme="minorEastAsia" w:cstheme="minorEastAsia"/>
          <w:b/>
          <w:bCs/>
          <w:sz w:val="24"/>
          <w:szCs w:val="24"/>
          <w:lang w:val="en-US" w:eastAsia="zh-CN"/>
        </w:rPr>
      </w:pP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报名材料：</w:t>
      </w:r>
    </w:p>
    <w:p>
      <w:pPr>
        <w:widowControl w:val="0"/>
        <w:numPr>
          <w:ilvl w:val="0"/>
          <w:numId w:val="0"/>
        </w:numPr>
        <w:jc w:val="both"/>
        <w:rPr>
          <w:rFonts w:hint="eastAsia" w:asciiTheme="minorEastAsia" w:hAnsiTheme="minorEastAsia" w:cs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居民身份证原件及复印件；</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学历证书原件、复印件及学历认证材料；</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学位证书原件、复印件及学位认证材料；</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《沈阳医学院同等学力人员申请硕士学位研究生登记表》1份</w:t>
      </w:r>
      <w:r>
        <w:rPr>
          <w:rFonts w:hint="eastAsia" w:asciiTheme="minorEastAsia" w:hAnsiTheme="minorEastAsia" w:cstheme="minorEastAsia"/>
          <w:sz w:val="21"/>
          <w:szCs w:val="21"/>
          <w:lang w:val="en-US" w:eastAsia="zh-CN"/>
        </w:rPr>
        <w:t>。</w:t>
      </w:r>
    </w:p>
    <w:p>
      <w:pPr>
        <w:widowControl w:val="0"/>
        <w:numPr>
          <w:ilvl w:val="0"/>
          <w:numId w:val="0"/>
        </w:numPr>
        <w:jc w:val="both"/>
        <w:rPr>
          <w:rFonts w:hint="default" w:asciiTheme="minorEastAsia" w:hAnsiTheme="minorEastAsia" w:cstheme="minorEastAsia"/>
          <w:b/>
          <w:bCs/>
          <w:sz w:val="24"/>
          <w:szCs w:val="24"/>
          <w:lang w:val="en-US" w:eastAsia="zh-CN"/>
        </w:rPr>
      </w:pP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学业要求：</w:t>
      </w:r>
    </w:p>
    <w:p>
      <w:pPr>
        <w:keepNext w:val="0"/>
        <w:keepLines w:val="0"/>
        <w:pageBreakBefore w:val="0"/>
        <w:widowControl w:val="0"/>
        <w:kinsoku/>
        <w:wordWrap/>
        <w:overflowPunct/>
        <w:topLinePunct w:val="0"/>
        <w:autoSpaceDE/>
        <w:autoSpaceDN/>
        <w:bidi w:val="0"/>
        <w:adjustRightInd/>
        <w:snapToGrid w:val="0"/>
        <w:spacing w:line="480" w:lineRule="auto"/>
        <w:contextualSpacing/>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（一）课程考核阶段（第一阶段）</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同等学力申请硕士学位研究生课程按照《沈阳医学院学术学位硕士研究生培养方案总则》《沈阳医学院临床医学专业学位同等学力硕士研究生培养方案总则（试行）》执行，由研究生学院进行安排。学校采用线上和线下相结合的混合式教学模式。</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申请人按照课程设置要求，可自主选择到校课堂授课（线下）或线上学习课程，完成规定的学分，达到同等学力人员申请硕士学位课程水平。沈阳医学院研究生学院与认定的中国医药学研究生在线教育平台课程学分互认，学生自愿自费、自由选择课堂学习或者线上学习。到校课堂授课（线下）安排以当年课表为准，授课时间与全日制研究生同步。</w:t>
      </w: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（二）学位申请及授予阶段（第二阶段）</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申请人第一阶段完成后双向选择确定研究生导师，在研究生院学位管理部门组织下进入第二阶段培养过程。导师指导申请人完成硕士学位论文撰写工作。依照沈阳医学院学位授予工作相关条例，通过学位管理部门对学位论文的审核和论文答辩，方可申请硕士学位。</w:t>
      </w:r>
    </w:p>
    <w:p>
      <w:pPr>
        <w:widowControl w:val="0"/>
        <w:numPr>
          <w:ilvl w:val="0"/>
          <w:numId w:val="0"/>
        </w:numPr>
        <w:jc w:val="both"/>
        <w:rPr>
          <w:rFonts w:hint="default" w:asciiTheme="minorEastAsia" w:hAnsiTheme="minorEastAsia" w:cstheme="minorEastAsia"/>
          <w:b/>
          <w:bCs/>
          <w:sz w:val="24"/>
          <w:szCs w:val="24"/>
          <w:lang w:val="en-US" w:eastAsia="zh-CN"/>
        </w:rPr>
      </w:pP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收费标准：</w:t>
      </w:r>
    </w:p>
    <w:p>
      <w:pPr>
        <w:keepNext w:val="0"/>
        <w:keepLines w:val="0"/>
        <w:pageBreakBefore w:val="0"/>
        <w:widowControl w:val="0"/>
        <w:kinsoku/>
        <w:wordWrap/>
        <w:overflowPunct/>
        <w:topLinePunct w:val="0"/>
        <w:autoSpaceDE/>
        <w:autoSpaceDN/>
        <w:bidi w:val="0"/>
        <w:adjustRightInd/>
        <w:snapToGrid w:val="0"/>
        <w:spacing w:line="480" w:lineRule="auto"/>
        <w:contextualSpacing/>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22" w:firstLineChars="200"/>
        <w:contextualSpacing/>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1"/>
          <w:szCs w:val="21"/>
          <w:lang w:val="en-US" w:eastAsia="zh-CN"/>
        </w:rPr>
        <w:t>学费：</w:t>
      </w:r>
      <w:r>
        <w:rPr>
          <w:rFonts w:hint="eastAsia" w:asciiTheme="minorEastAsia" w:hAnsiTheme="minorEastAsia" w:eastAsiaTheme="minorEastAsia" w:cstheme="minorEastAsia"/>
          <w:sz w:val="21"/>
          <w:szCs w:val="21"/>
          <w:lang w:val="en-US" w:eastAsia="zh-CN"/>
        </w:rPr>
        <w:t>按阶段缴纳学费，课程考核阶段10,000元/人；学位申请及授予阶段20,000元/人</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在线课程学习费由学堂在线另行收取。</w:t>
      </w:r>
    </w:p>
    <w:p>
      <w:pPr>
        <w:widowControl w:val="0"/>
        <w:numPr>
          <w:ilvl w:val="0"/>
          <w:numId w:val="0"/>
        </w:numPr>
        <w:jc w:val="both"/>
        <w:rPr>
          <w:rFonts w:hint="default" w:asciiTheme="minorEastAsia" w:hAnsiTheme="minorEastAsia" w:cstheme="minorEastAsia"/>
          <w:b/>
          <w:bCs/>
          <w:sz w:val="24"/>
          <w:szCs w:val="24"/>
          <w:lang w:val="en-US" w:eastAsia="zh-CN"/>
        </w:rPr>
      </w:pPr>
    </w:p>
    <w:p>
      <w:pPr>
        <w:numPr>
          <w:ilvl w:val="0"/>
          <w:numId w:val="1"/>
        </w:numPr>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获取证书：</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contextualSpacing/>
        <w:textAlignment w:val="auto"/>
        <w:rPr>
          <w:rFonts w:hint="eastAsia" w:asciiTheme="minorEastAsia" w:hAnsiTheme="minorEastAsia" w:cstheme="minorEastAsia"/>
          <w:b/>
          <w:bCs/>
          <w:sz w:val="24"/>
          <w:szCs w:val="24"/>
          <w:lang w:val="en-US" w:eastAsia="zh-CN"/>
        </w:rPr>
      </w:pPr>
      <w:r>
        <w:rPr>
          <w:rFonts w:hint="eastAsia" w:asciiTheme="minorEastAsia" w:hAnsiTheme="minorEastAsia" w:eastAsiaTheme="minorEastAsia" w:cstheme="minorEastAsia"/>
          <w:sz w:val="21"/>
          <w:szCs w:val="21"/>
          <w:lang w:val="en-US" w:eastAsia="zh-CN"/>
        </w:rPr>
        <w:t>对通过课程考核、同等学力人员申请硕士学位全国统一考试和学位论文答辩的申请人，经学校学位评定委员会批准，授予硕士学位，颁发硕士学位证书。</w:t>
      </w:r>
    </w:p>
    <w:p>
      <w:pPr>
        <w:widowControl w:val="0"/>
        <w:numPr>
          <w:ilvl w:val="0"/>
          <w:numId w:val="0"/>
        </w:numPr>
        <w:jc w:val="both"/>
        <w:rPr>
          <w:rFonts w:hint="default" w:asciiTheme="minorEastAsia" w:hAnsiTheme="minorEastAsia" w:cs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82" w:firstLineChars="200"/>
        <w:contextualSpacing/>
        <w:textAlignment w:val="auto"/>
        <w:rPr>
          <w:rFonts w:hint="default" w:asciiTheme="minorEastAsia" w:hAnsiTheme="minorEastAsia" w:cstheme="minorEastAsia"/>
          <w:b/>
          <w:bCs/>
          <w:sz w:val="24"/>
          <w:szCs w:val="24"/>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1455"/>
          <wp:effectExtent l="0" t="0" r="2540" b="4445"/>
          <wp:wrapNone/>
          <wp:docPr id="2" name="WordPictureWatermark27469" descr="沈阳医学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7469" descr="沈阳医学院LOGO"/>
                  <pic:cNvPicPr>
                    <a:picLocks noChangeAspect="1"/>
                  </pic:cNvPicPr>
                </pic:nvPicPr>
                <pic:blipFill>
                  <a:blip r:embed="rId1">
                    <a:lum bright="69998" contrast="-70001"/>
                  </a:blip>
                  <a:stretch>
                    <a:fillRect/>
                  </a:stretch>
                </pic:blipFill>
                <pic:spPr>
                  <a:xfrm>
                    <a:off x="0" y="0"/>
                    <a:ext cx="5274310" cy="52914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80627"/>
    <w:multiLevelType w:val="singleLevel"/>
    <w:tmpl w:val="C82806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898019C"/>
    <w:rsid w:val="002F5211"/>
    <w:rsid w:val="0F3D0531"/>
    <w:rsid w:val="32B67A1F"/>
    <w:rsid w:val="3898019C"/>
    <w:rsid w:val="4CF66DFB"/>
    <w:rsid w:val="5EB95EDC"/>
    <w:rsid w:val="5F3B064B"/>
    <w:rsid w:val="6F9C5CFC"/>
    <w:rsid w:val="7178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1946</Words>
  <Characters>1968</Characters>
  <Lines>0</Lines>
  <Paragraphs>0</Paragraphs>
  <TotalTime>7</TotalTime>
  <ScaleCrop>false</ScaleCrop>
  <LinksUpToDate>false</LinksUpToDate>
  <CharactersWithSpaces>1970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2022-06-06T07:29:00Z</dcterms:created>
  <dc:creator>Administrator</dc:creator>
  <cp:lastModifiedBy>冰冰⊙▽⊙＊</cp:lastModifiedBy>
  <dcterms:modified xsi:type="dcterms:W3CDTF">2022-09-07T03:04:35Z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5E296656D005432096384B5C46E5C066</vt:lpwstr>
  </property>
</Properties>
</file>