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962400" cy="140144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959172" cy="1400424"/>
                    </a:xfrm>
                    <a:prstGeom prst="rect">
                      <a:avLst/>
                    </a:prstGeom>
                  </pic:spPr>
                </pic:pic>
              </a:graphicData>
            </a:graphic>
          </wp:inline>
        </w:drawing>
      </w: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湖北师范大学同等学力申请硕士学位数学专业</w:t>
      </w:r>
    </w:p>
    <w:p>
      <w:pPr>
        <w:jc w:val="center"/>
        <w:rPr>
          <w:rFonts w:eastAsia="宋体"/>
          <w:b/>
          <w:bCs/>
          <w:color w:val="000000" w:themeColor="text1"/>
          <w:sz w:val="36"/>
          <w:szCs w:val="36"/>
        </w:rPr>
      </w:pPr>
      <w:r>
        <w:rPr>
          <w:rFonts w:hint="eastAsia" w:eastAsia="宋体"/>
          <w:b/>
          <w:bCs/>
          <w:color w:val="000000" w:themeColor="text1"/>
          <w:sz w:val="36"/>
          <w:szCs w:val="36"/>
        </w:rPr>
        <w:t>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 数学专业是自然科学的基础，也是技术创新发展的磐石，每个国家的数学专业人才的实力发挥往往影响着国家实力的发展，没有强大的数学基础就没有良好的科技创新力量。当下数学专业毕业的研究生早已是金融界、IT界、科研界的香饽饽。为了给国家输送数学专业的人才需求，我校特此开展同等学力硕士数学专业学位课程班，目前有基础数学专业、概率论与数理统计专业、应用数学专业、运筹学与控制论专业、信息计算与智能系统专业五个专业课程选择。</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eastAsia="宋体"/>
          <w:color w:val="000000" w:themeColor="text1"/>
          <w:sz w:val="24"/>
        </w:rPr>
      </w:pPr>
      <w:r>
        <w:rPr>
          <w:rFonts w:hint="eastAsia" w:eastAsia="宋体"/>
          <w:color w:val="000000" w:themeColor="text1"/>
          <w:sz w:val="24"/>
        </w:rPr>
        <w:t>本学科专业主要通过学习和掌握坚实深厚的数学理论基础知识和系统全面的专业知识，了解数学专业的前沿进展和动向发展，向社会培养具有德智体全面发展的，适应社会主义现代化建设事业需要的应用数学方面的高级专门人才，并在某研究方向受到一定的科研训练，有较系统的专业知识，初步具有独立从事科学研究工作或独立担负专门技术工作的能力人才。</w:t>
      </w: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【申硕科目少】学员满足申硕条件参加全国统一同等学力申请硕士学位考试，仅考外语1科目</w:t>
      </w:r>
      <w:r>
        <w:rPr>
          <w:rFonts w:hint="eastAsia" w:ascii="宋体" w:hAnsi="宋体"/>
          <w:color w:val="000000" w:themeColor="text1"/>
          <w:sz w:val="24"/>
        </w:rPr>
        <w:t>，百分制六十分及格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hint="eastAsia"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2268"/>
        <w:gridCol w:w="240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1" w:type="dxa"/>
            <w:gridSpan w:val="4"/>
            <w:vAlign w:val="center"/>
          </w:tcPr>
          <w:p>
            <w:pPr>
              <w:pStyle w:val="5"/>
              <w:snapToGrid w:val="0"/>
              <w:spacing w:line="360" w:lineRule="auto"/>
              <w:contextualSpacing/>
              <w:jc w:val="center"/>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数学专业</w:t>
            </w:r>
            <w:r>
              <w:rPr>
                <w:rFonts w:asciiTheme="minorEastAsia" w:hAnsiTheme="minorEastAsia" w:eastAsiaTheme="minorEastAsia"/>
                <w:b/>
                <w:color w:val="000000" w:themeColor="text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restart"/>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必修</w:t>
            </w:r>
            <w:r>
              <w:rPr>
                <w:rFonts w:asciiTheme="minorEastAsia" w:hAnsiTheme="minorEastAsia" w:eastAsiaTheme="minorEastAsia"/>
                <w:color w:val="000000" w:themeColor="text1"/>
                <w:sz w:val="21"/>
                <w:szCs w:val="21"/>
              </w:rPr>
              <w:t>课程</w:t>
            </w: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数理统计</w:t>
            </w:r>
          </w:p>
        </w:tc>
        <w:tc>
          <w:tcPr>
            <w:tcW w:w="240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代数拓扑基础</w:t>
            </w:r>
          </w:p>
        </w:tc>
        <w:tc>
          <w:tcPr>
            <w:tcW w:w="21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现代偏微分方程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泛函分析基础</w:t>
            </w:r>
          </w:p>
        </w:tc>
        <w:tc>
          <w:tcPr>
            <w:tcW w:w="240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抽象代数基础</w:t>
            </w:r>
          </w:p>
        </w:tc>
        <w:tc>
          <w:tcPr>
            <w:tcW w:w="21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现代常微分方程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数值分析与科学计算</w:t>
            </w:r>
          </w:p>
        </w:tc>
        <w:tc>
          <w:tcPr>
            <w:tcW w:w="240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多元复分析基础</w:t>
            </w:r>
          </w:p>
        </w:tc>
        <w:tc>
          <w:tcPr>
            <w:tcW w:w="21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实、复分析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restart"/>
            <w:vAlign w:val="center"/>
          </w:tcPr>
          <w:p>
            <w:pPr>
              <w:pStyle w:val="5"/>
              <w:snapToGrid w:val="0"/>
              <w:spacing w:line="360" w:lineRule="auto"/>
              <w:ind w:left="105" w:leftChars="50"/>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专业</w:t>
            </w:r>
            <w:r>
              <w:rPr>
                <w:rFonts w:asciiTheme="minorEastAsia" w:hAnsiTheme="minorEastAsia" w:eastAsiaTheme="minorEastAsia"/>
                <w:color w:val="000000" w:themeColor="text1"/>
                <w:sz w:val="21"/>
                <w:szCs w:val="21"/>
              </w:rPr>
              <w:t>选修</w:t>
            </w:r>
            <w:r>
              <w:rPr>
                <w:rFonts w:hint="eastAsia" w:asciiTheme="minorEastAsia" w:hAnsiTheme="minorEastAsia" w:eastAsiaTheme="minorEastAsia"/>
                <w:color w:val="000000" w:themeColor="text1"/>
                <w:sz w:val="21"/>
                <w:szCs w:val="21"/>
              </w:rPr>
              <w:t>课程</w:t>
            </w: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高等计量金融学</w:t>
            </w:r>
          </w:p>
        </w:tc>
        <w:tc>
          <w:tcPr>
            <w:tcW w:w="2409"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分形几何学</w:t>
            </w:r>
          </w:p>
        </w:tc>
        <w:tc>
          <w:tcPr>
            <w:tcW w:w="2181" w:type="dxa"/>
            <w:vAlign w:val="center"/>
          </w:tcPr>
          <w:p>
            <w:pPr>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非线性泛函分析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代数曲面</w:t>
            </w:r>
          </w:p>
        </w:tc>
        <w:tc>
          <w:tcPr>
            <w:tcW w:w="2409"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变分迭代法</w:t>
            </w:r>
          </w:p>
        </w:tc>
        <w:tc>
          <w:tcPr>
            <w:tcW w:w="2181"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微分拓扑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随机控制理论</w:t>
            </w:r>
          </w:p>
        </w:tc>
        <w:tc>
          <w:tcPr>
            <w:tcW w:w="2409"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散乱数据拟合</w:t>
            </w:r>
          </w:p>
        </w:tc>
        <w:tc>
          <w:tcPr>
            <w:tcW w:w="2181"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向量最优化理论</w:t>
            </w:r>
          </w:p>
        </w:tc>
      </w:tr>
    </w:tbl>
    <w:p>
      <w:pPr>
        <w:rPr>
          <w:rFonts w:eastAsia="宋体"/>
          <w:b/>
          <w:bCs/>
          <w:color w:val="000000" w:themeColor="text1"/>
          <w:sz w:val="24"/>
        </w:rPr>
      </w:pPr>
    </w:p>
    <w:p>
      <w:pPr>
        <w:pStyle w:val="5"/>
        <w:snapToGrid w:val="0"/>
        <w:spacing w:line="360" w:lineRule="auto"/>
        <w:ind w:firstLine="2730" w:firstLineChars="1300"/>
        <w:contextualSpacing/>
        <w:rPr>
          <w:b/>
          <w:bCs/>
          <w:color w:val="000000" w:themeColor="text1"/>
        </w:rPr>
      </w:pPr>
      <w:r>
        <w:rPr>
          <w:rFonts w:hint="eastAsia" w:asciiTheme="minorEastAsia" w:hAnsiTheme="minorEastAsia" w:eastAsiaTheme="minorEastAsia"/>
          <w:color w:val="000000" w:themeColor="text1"/>
          <w:sz w:val="21"/>
          <w:szCs w:val="21"/>
        </w:rPr>
        <w:t xml:space="preserve"> 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 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w:t>
      </w:r>
      <w:bookmarkStart w:id="0" w:name="_GoBack"/>
      <w:r>
        <w:rPr>
          <w:rFonts w:hint="eastAsia" w:eastAsia="宋体"/>
          <w:color w:val="000000" w:themeColor="text1"/>
          <w:sz w:val="24"/>
        </w:rPr>
        <w:t>1.5-2年</w:t>
      </w:r>
      <w:bookmarkEnd w:id="0"/>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rPr>
          <w:rFonts w:eastAsia="宋体"/>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4A5394"/>
    <w:rsid w:val="004F469C"/>
    <w:rsid w:val="00645670"/>
    <w:rsid w:val="00836DF4"/>
    <w:rsid w:val="00AF6113"/>
    <w:rsid w:val="00FC6CF4"/>
    <w:rsid w:val="02640D83"/>
    <w:rsid w:val="065F0079"/>
    <w:rsid w:val="4581242F"/>
    <w:rsid w:val="462B4F19"/>
    <w:rsid w:val="5E78697C"/>
    <w:rsid w:val="68BB4662"/>
    <w:rsid w:val="796930ED"/>
    <w:rsid w:val="79BA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1643</Characters>
  <Lines>13</Lines>
  <Paragraphs>3</Paragraphs>
  <TotalTime>22</TotalTime>
  <ScaleCrop>false</ScaleCrop>
  <LinksUpToDate>false</LinksUpToDate>
  <CharactersWithSpaces>1928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2021-11-04T02:09:53Z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88A9F7491B624B108DF2B0046AFF1F03</vt:lpwstr>
  </property>
</Properties>
</file>