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color w:val="000000" w:themeColor="text1"/>
        </w:rPr>
      </w:pPr>
      <w:r>
        <w:rPr>
          <w:rFonts w:hint="eastAsia" w:eastAsia="宋体"/>
          <w:color w:val="000000" w:themeColor="text1"/>
        </w:rPr>
        <w:drawing>
          <wp:inline distT="0" distB="0" distL="114300" distR="114300">
            <wp:extent cx="3876675" cy="1370965"/>
            <wp:effectExtent l="0" t="0" r="0" b="0"/>
            <wp:docPr id="5" name="图片 5" descr="src=http_%2F%2Fn.sinaimg.cn%2Ffront%2F84%2Fw640h244%2F20190104%2FO65j-hqzxptp5109495.jpg&amp;refer=http_%2F%2Fn.sina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rc=http_%2F%2Fn.sinaimg.cn%2Ffront%2F84%2Fw640h244%2F20190104%2FO65j-hqzxptp5109495.jpg&amp;refer=http_%2F%2Fn.sinaimg"/>
                    <pic:cNvPicPr>
                      <a:picLocks noChangeAspect="1"/>
                    </pic:cNvPicPr>
                  </pic:nvPicPr>
                  <pic:blipFill>
                    <a:blip r:embed="rId5" cstate="print">
                      <a:clrChange>
                        <a:clrFrom>
                          <a:srgbClr val="EDF0F9">
                            <a:alpha val="100000"/>
                          </a:srgbClr>
                        </a:clrFrom>
                        <a:clrTo>
                          <a:srgbClr val="EDF0F9">
                            <a:alpha val="100000"/>
                            <a:alpha val="0"/>
                          </a:srgbClr>
                        </a:clrTo>
                      </a:clrChange>
                    </a:blip>
                    <a:stretch>
                      <a:fillRect/>
                    </a:stretch>
                  </pic:blipFill>
                  <pic:spPr>
                    <a:xfrm>
                      <a:off x="0" y="0"/>
                      <a:ext cx="3873517" cy="1370127"/>
                    </a:xfrm>
                    <a:prstGeom prst="rect">
                      <a:avLst/>
                    </a:prstGeom>
                  </pic:spPr>
                </pic:pic>
              </a:graphicData>
            </a:graphic>
          </wp:inline>
        </w:drawing>
      </w:r>
    </w:p>
    <w:p>
      <w:pPr>
        <w:rPr>
          <w:rFonts w:eastAsia="宋体"/>
          <w:color w:val="000000" w:themeColor="text1"/>
        </w:rPr>
      </w:pPr>
    </w:p>
    <w:p>
      <w:pPr>
        <w:jc w:val="center"/>
        <w:rPr>
          <w:rFonts w:hint="eastAsia" w:eastAsia="宋体"/>
          <w:b/>
          <w:bCs/>
          <w:color w:val="000000" w:themeColor="text1"/>
          <w:sz w:val="36"/>
          <w:szCs w:val="36"/>
        </w:rPr>
      </w:pPr>
      <w:r>
        <w:rPr>
          <w:rFonts w:hint="eastAsia" w:eastAsia="宋体"/>
          <w:b/>
          <w:bCs/>
          <w:color w:val="000000" w:themeColor="text1"/>
          <w:sz w:val="36"/>
          <w:szCs w:val="36"/>
        </w:rPr>
        <w:t>湖北师范大学同等学力申请硕士学位</w:t>
      </w:r>
    </w:p>
    <w:p>
      <w:pPr>
        <w:jc w:val="center"/>
        <w:rPr>
          <w:rFonts w:eastAsia="宋体"/>
          <w:b/>
          <w:bCs/>
          <w:color w:val="000000" w:themeColor="text1"/>
          <w:sz w:val="36"/>
          <w:szCs w:val="36"/>
        </w:rPr>
      </w:pPr>
      <w:r>
        <w:rPr>
          <w:rFonts w:hint="eastAsia" w:eastAsia="宋体"/>
          <w:b/>
          <w:bCs/>
          <w:color w:val="000000" w:themeColor="text1"/>
          <w:sz w:val="36"/>
          <w:szCs w:val="36"/>
        </w:rPr>
        <w:t>信息计算与智能系统专业招生简章</w:t>
      </w:r>
    </w:p>
    <w:p>
      <w:pPr>
        <w:rPr>
          <w:rFonts w:eastAsia="宋体"/>
          <w:b/>
          <w:bCs/>
          <w:color w:val="000000" w:themeColor="text1"/>
        </w:rPr>
      </w:pPr>
    </w:p>
    <w:p>
      <w:pPr>
        <w:numPr>
          <w:ilvl w:val="0"/>
          <w:numId w:val="1"/>
        </w:numPr>
        <w:rPr>
          <w:rFonts w:eastAsia="宋体"/>
          <w:b/>
          <w:bCs/>
          <w:color w:val="000000" w:themeColor="text1"/>
          <w:sz w:val="24"/>
        </w:rPr>
      </w:pPr>
      <w:r>
        <w:rPr>
          <w:rFonts w:hint="eastAsia" w:eastAsia="宋体"/>
          <w:b/>
          <w:bCs/>
          <w:color w:val="000000" w:themeColor="text1"/>
          <w:sz w:val="24"/>
        </w:rPr>
        <w:t>学校简介：</w:t>
      </w:r>
    </w:p>
    <w:p>
      <w:pPr>
        <w:spacing w:line="360" w:lineRule="auto"/>
        <w:ind w:firstLine="480" w:firstLineChars="200"/>
        <w:rPr>
          <w:rFonts w:eastAsia="宋体"/>
          <w:color w:val="000000" w:themeColor="text1"/>
          <w:sz w:val="24"/>
        </w:rPr>
      </w:pPr>
      <w:r>
        <w:rPr>
          <w:rFonts w:hint="eastAsia" w:eastAsia="宋体"/>
          <w:color w:val="000000" w:themeColor="text1"/>
          <w:sz w:val="24"/>
        </w:rPr>
        <w:t>湖北师范大学是一所以教育学、文学、理学、工学为主要学科门类，以教师教育为特色，以服务基础教育为主体的省属重点本科高等师范院校，具有硕士学位授予权，是全国本科教学工作水平评估优秀学校、国家产教融合发展工程应用型本科建设高校、湖北省国内“双一流”建设高校。学校师资力量雄厚，现有专任教师1122人，教授133人，副教授350人。具有博士学位的343人，硕士学位的579人。建校47年来，共培养各类毕业生10余万人，毕业生中绝大多数扎根在湖北省基础教育第一线。学校已成为湖北省高等师范教育的骨干力量，是培养湖北省基础教育师资的重要基地。</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信息计算与智能系统专业已形成了无线网络与智能计算、人机交互与智能识别、并行处理与系统集群三个稳定的研究方向。聚焦领域数据的精准采集、多源融合、智能分析与应用开发，包括领域的多源数据处理、知识挖掘、语义推理、个性化推荐技术；支持领域服务应用的大数据计算框架、数据服务引擎及可视化配置技术；面向领域服务需求的软件建模、分析验证以及敏捷开发实现技术。在智能电网、生产过程管控等领域具有多年技术积累，产生了显著的行业影响。</w:t>
      </w:r>
    </w:p>
    <w:p>
      <w:pPr>
        <w:spacing w:line="360" w:lineRule="auto"/>
        <w:ind w:firstLine="480" w:firstLineChars="200"/>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培养目标：</w:t>
      </w:r>
    </w:p>
    <w:p>
      <w:pPr>
        <w:spacing w:line="360" w:lineRule="auto"/>
        <w:ind w:firstLine="480" w:firstLineChars="200"/>
        <w:rPr>
          <w:rFonts w:eastAsia="宋体"/>
          <w:color w:val="000000" w:themeColor="text1"/>
          <w:sz w:val="24"/>
        </w:rPr>
      </w:pPr>
      <w:r>
        <w:rPr>
          <w:rFonts w:hint="eastAsia" w:eastAsia="宋体"/>
          <w:color w:val="000000" w:themeColor="text1"/>
          <w:sz w:val="24"/>
        </w:rPr>
        <w:t>本专业要求学生掌握信息计算与智能系统学科坚实的基础理论，了解本学科方向的进展，在与自身确定的研究专题关联的基本理论和技术实现方面具有独到的见解，并具备相应的实践能力，具有严谨求实的科学态度、较深的学术修养。特别是独立分析和解决实际问题的能力，做出有理论价值和实际意义的成果。培养德、智、体全面发展的、具有较高政治素质和专业素质的、能适应社会主义建设需要的、能从事信息计算与智能系统应用的高层次专门人才。</w:t>
      </w:r>
    </w:p>
    <w:p>
      <w:pPr>
        <w:spacing w:line="360" w:lineRule="auto"/>
        <w:ind w:firstLine="480" w:firstLineChars="200"/>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培养优势：</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1、</w:t>
      </w:r>
      <w:r>
        <w:rPr>
          <w:rFonts w:hint="eastAsia" w:ascii="宋体" w:hAnsi="宋体" w:eastAsia="宋体" w:cs="Times New Roman"/>
          <w:color w:val="000000" w:themeColor="text1"/>
          <w:sz w:val="24"/>
        </w:rPr>
        <w:t>【免试入学，在职学习】学员满足入学条件可免试入学，在职学习提升能力，工作学习两不误；</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2、</w:t>
      </w:r>
      <w:r>
        <w:rPr>
          <w:rFonts w:hint="eastAsia" w:ascii="宋体" w:hAnsi="宋体" w:eastAsia="宋体" w:cs="Times New Roman"/>
          <w:color w:val="000000" w:themeColor="text1"/>
          <w:sz w:val="24"/>
        </w:rPr>
        <w:t>【师资雄厚】学科专业选用有丰富教学经验的师资授课，浓缩课程精华，提高申硕率；</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3、</w:t>
      </w:r>
      <w:r>
        <w:rPr>
          <w:rFonts w:hint="eastAsia" w:ascii="宋体" w:hAnsi="宋体" w:eastAsia="宋体" w:cs="Times New Roman"/>
          <w:color w:val="000000" w:themeColor="text1"/>
          <w:sz w:val="24"/>
        </w:rPr>
        <w:t>【申硕科目少】学员满足申硕条件参加全国统一同等学力申请硕士学位考试，仅考外语1科目</w:t>
      </w:r>
      <w:r>
        <w:rPr>
          <w:rFonts w:hint="eastAsia" w:ascii="宋体" w:hAnsi="宋体"/>
          <w:color w:val="000000" w:themeColor="text1"/>
          <w:sz w:val="24"/>
        </w:rPr>
        <w:t>，百分制六十分及格</w:t>
      </w:r>
      <w:r>
        <w:rPr>
          <w:rFonts w:hint="eastAsia" w:ascii="宋体" w:hAnsi="宋体" w:eastAsia="宋体" w:cs="Times New Roman"/>
          <w:color w:val="000000" w:themeColor="text1"/>
          <w:sz w:val="24"/>
        </w:rPr>
        <w:t>难度较低；</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4、</w:t>
      </w:r>
      <w:r>
        <w:rPr>
          <w:rFonts w:hint="eastAsia" w:ascii="宋体" w:hAnsi="宋体" w:eastAsia="宋体" w:cs="Times New Roman"/>
          <w:color w:val="000000" w:themeColor="text1"/>
          <w:sz w:val="24"/>
        </w:rPr>
        <w:t>【</w:t>
      </w:r>
      <w:r>
        <w:rPr>
          <w:rFonts w:ascii="宋体" w:hAnsi="宋体" w:eastAsia="宋体" w:cs="Times New Roman"/>
          <w:color w:val="000000" w:themeColor="text1"/>
          <w:sz w:val="24"/>
        </w:rPr>
        <w:t>学习方式</w:t>
      </w:r>
      <w:r>
        <w:rPr>
          <w:rFonts w:hint="eastAsia" w:ascii="宋体" w:hAnsi="宋体" w:eastAsia="宋体" w:cs="Times New Roman"/>
          <w:color w:val="000000" w:themeColor="text1"/>
          <w:sz w:val="24"/>
        </w:rPr>
        <w:t>灵活】本专业</w:t>
      </w:r>
      <w:r>
        <w:rPr>
          <w:rFonts w:ascii="宋体" w:hAnsi="宋体" w:eastAsia="宋体" w:cs="Times New Roman"/>
          <w:color w:val="000000" w:themeColor="text1"/>
          <w:sz w:val="24"/>
        </w:rPr>
        <w:t>设</w:t>
      </w:r>
      <w:r>
        <w:rPr>
          <w:rFonts w:hint="eastAsia" w:eastAsia="宋体"/>
          <w:color w:val="000000" w:themeColor="text1"/>
          <w:sz w:val="24"/>
        </w:rPr>
        <w:t>线上（录播或直播）与线下讲座相结合</w:t>
      </w:r>
      <w:r>
        <w:rPr>
          <w:rFonts w:ascii="宋体" w:hAnsi="宋体" w:eastAsia="宋体" w:cs="Times New Roman"/>
          <w:color w:val="000000" w:themeColor="text1"/>
          <w:sz w:val="24"/>
        </w:rPr>
        <w:t>，学员不受时间、地域限制随时可学习，方便灵活</w:t>
      </w:r>
      <w:r>
        <w:rPr>
          <w:rFonts w:hint="eastAsia" w:ascii="宋体" w:hAnsi="宋体" w:eastAsia="宋体" w:cs="Times New Roman"/>
          <w:color w:val="000000" w:themeColor="text1"/>
          <w:sz w:val="24"/>
        </w:rPr>
        <w:t>；</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5、</w:t>
      </w:r>
      <w:r>
        <w:rPr>
          <w:rFonts w:ascii="宋体" w:hAnsi="宋体" w:eastAsia="宋体" w:cs="Times New Roman"/>
          <w:color w:val="000000" w:themeColor="text1"/>
          <w:sz w:val="24"/>
        </w:rPr>
        <w:t>【可获名校证书】拟申请硕士学位的同等学力人员具备条件后，经学校学位评定委员会批准，授予</w:t>
      </w:r>
      <w:r>
        <w:rPr>
          <w:rFonts w:ascii="宋体" w:hAnsi="宋体"/>
          <w:color w:val="000000" w:themeColor="text1"/>
          <w:sz w:val="24"/>
        </w:rPr>
        <w:t>湖北师范大学</w:t>
      </w:r>
      <w:r>
        <w:rPr>
          <w:rFonts w:ascii="宋体" w:hAnsi="宋体" w:eastAsia="宋体" w:cs="Times New Roman"/>
          <w:color w:val="000000" w:themeColor="text1"/>
          <w:sz w:val="24"/>
        </w:rPr>
        <w:t>硕士学位证书</w:t>
      </w:r>
      <w:r>
        <w:rPr>
          <w:rFonts w:hint="eastAsia" w:ascii="宋体" w:hAnsi="宋体" w:eastAsia="宋体" w:cs="Times New Roman"/>
          <w:color w:val="000000" w:themeColor="text1"/>
          <w:sz w:val="24"/>
        </w:rPr>
        <w:t>；</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6、</w:t>
      </w:r>
      <w:r>
        <w:rPr>
          <w:rFonts w:hint="eastAsia" w:ascii="宋体" w:hAnsi="宋体" w:eastAsia="宋体" w:cs="Times New Roman"/>
          <w:color w:val="000000" w:themeColor="text1"/>
          <w:sz w:val="24"/>
        </w:rPr>
        <w:t>【学知识结人脉】学习期间不定期举行课外活动，学知识结高端校友人脉。</w:t>
      </w:r>
    </w:p>
    <w:p>
      <w:pPr>
        <w:spacing w:line="360" w:lineRule="auto"/>
        <w:rPr>
          <w:rFonts w:eastAsia="宋体"/>
          <w:color w:val="000000" w:themeColor="text1"/>
          <w:sz w:val="24"/>
        </w:rPr>
      </w:pPr>
    </w:p>
    <w:p>
      <w:pPr>
        <w:numPr>
          <w:ilvl w:val="0"/>
          <w:numId w:val="1"/>
        </w:numPr>
        <w:rPr>
          <w:rFonts w:hint="eastAsia" w:eastAsia="宋体"/>
          <w:b/>
          <w:bCs/>
          <w:color w:val="000000" w:themeColor="text1"/>
          <w:sz w:val="24"/>
        </w:rPr>
      </w:pPr>
      <w:r>
        <w:rPr>
          <w:rFonts w:hint="eastAsia" w:eastAsia="宋体"/>
          <w:b/>
          <w:bCs/>
          <w:color w:val="000000" w:themeColor="text1"/>
          <w:sz w:val="24"/>
        </w:rPr>
        <w:t>课程设置：</w:t>
      </w:r>
    </w:p>
    <w:p>
      <w:pPr>
        <w:rPr>
          <w:rFonts w:eastAsia="宋体"/>
          <w:b/>
          <w:bCs/>
          <w:color w:val="000000" w:themeColor="text1"/>
          <w:sz w:val="24"/>
        </w:rPr>
      </w:pPr>
    </w:p>
    <w:tbl>
      <w:tblPr>
        <w:tblStyle w:val="7"/>
        <w:tblW w:w="8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2138"/>
        <w:gridCol w:w="2281"/>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jc w:val="center"/>
        </w:trPr>
        <w:tc>
          <w:tcPr>
            <w:tcW w:w="8179" w:type="dxa"/>
            <w:gridSpan w:val="4"/>
            <w:vAlign w:val="center"/>
          </w:tcPr>
          <w:p>
            <w:pPr>
              <w:pStyle w:val="5"/>
              <w:snapToGrid w:val="0"/>
              <w:spacing w:line="360" w:lineRule="auto"/>
              <w:contextualSpacing/>
              <w:jc w:val="center"/>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信息计算与智能系统专业</w:t>
            </w:r>
            <w:r>
              <w:rPr>
                <w:rFonts w:asciiTheme="minorEastAsia" w:hAnsiTheme="minorEastAsia" w:eastAsiaTheme="minorEastAsia"/>
                <w:b/>
                <w:color w:val="000000" w:themeColor="text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jc w:val="center"/>
        </w:trPr>
        <w:tc>
          <w:tcPr>
            <w:tcW w:w="1568" w:type="dxa"/>
            <w:vMerge w:val="restart"/>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必修</w:t>
            </w:r>
            <w:r>
              <w:rPr>
                <w:rFonts w:asciiTheme="minorEastAsia" w:hAnsiTheme="minorEastAsia" w:eastAsiaTheme="minorEastAsia"/>
                <w:color w:val="000000" w:themeColor="text1"/>
                <w:sz w:val="21"/>
                <w:szCs w:val="21"/>
              </w:rPr>
              <w:t>课程</w:t>
            </w:r>
          </w:p>
        </w:tc>
        <w:tc>
          <w:tcPr>
            <w:tcW w:w="2138"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数理统计</w:t>
            </w:r>
          </w:p>
        </w:tc>
        <w:tc>
          <w:tcPr>
            <w:tcW w:w="2281"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代数拓扑基础</w:t>
            </w:r>
          </w:p>
        </w:tc>
        <w:tc>
          <w:tcPr>
            <w:tcW w:w="2193"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现代偏微分方程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jc w:val="center"/>
        </w:trPr>
        <w:tc>
          <w:tcPr>
            <w:tcW w:w="1568" w:type="dxa"/>
            <w:vMerge w:val="continue"/>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p>
        </w:tc>
        <w:tc>
          <w:tcPr>
            <w:tcW w:w="2138"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泛函分析基础</w:t>
            </w:r>
          </w:p>
        </w:tc>
        <w:tc>
          <w:tcPr>
            <w:tcW w:w="2281"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抽象代数基础</w:t>
            </w:r>
          </w:p>
        </w:tc>
        <w:tc>
          <w:tcPr>
            <w:tcW w:w="2193"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现代常微分方程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68" w:type="dxa"/>
            <w:vMerge w:val="continue"/>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p>
        </w:tc>
        <w:tc>
          <w:tcPr>
            <w:tcW w:w="2138"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数值分析与科学计算</w:t>
            </w:r>
          </w:p>
        </w:tc>
        <w:tc>
          <w:tcPr>
            <w:tcW w:w="2281"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多元复分析基础</w:t>
            </w:r>
          </w:p>
        </w:tc>
        <w:tc>
          <w:tcPr>
            <w:tcW w:w="2193" w:type="dxa"/>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实、复分析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jc w:val="center"/>
        </w:trPr>
        <w:tc>
          <w:tcPr>
            <w:tcW w:w="1568" w:type="dxa"/>
            <w:vMerge w:val="restart"/>
            <w:vAlign w:val="center"/>
          </w:tcPr>
          <w:p>
            <w:pPr>
              <w:pStyle w:val="5"/>
              <w:snapToGrid w:val="0"/>
              <w:spacing w:line="360" w:lineRule="auto"/>
              <w:ind w:left="105" w:leftChars="50"/>
              <w:contextualSpacing/>
              <w:jc w:val="center"/>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专业</w:t>
            </w:r>
            <w:r>
              <w:rPr>
                <w:rFonts w:asciiTheme="minorEastAsia" w:hAnsiTheme="minorEastAsia" w:eastAsiaTheme="minorEastAsia"/>
                <w:color w:val="000000" w:themeColor="text1"/>
                <w:sz w:val="21"/>
                <w:szCs w:val="21"/>
              </w:rPr>
              <w:t>选修</w:t>
            </w:r>
            <w:r>
              <w:rPr>
                <w:rFonts w:hint="eastAsia" w:asciiTheme="minorEastAsia" w:hAnsiTheme="minorEastAsia" w:eastAsiaTheme="minorEastAsia"/>
                <w:color w:val="000000" w:themeColor="text1"/>
                <w:sz w:val="21"/>
                <w:szCs w:val="21"/>
              </w:rPr>
              <w:t>课程</w:t>
            </w:r>
          </w:p>
        </w:tc>
        <w:tc>
          <w:tcPr>
            <w:tcW w:w="2138"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高等计量金融学</w:t>
            </w:r>
          </w:p>
        </w:tc>
        <w:tc>
          <w:tcPr>
            <w:tcW w:w="2281"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分形几何学</w:t>
            </w:r>
          </w:p>
        </w:tc>
        <w:tc>
          <w:tcPr>
            <w:tcW w:w="2193" w:type="dxa"/>
            <w:vAlign w:val="center"/>
          </w:tcPr>
          <w:p>
            <w:pPr>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非线性泛函分析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68" w:type="dxa"/>
            <w:vMerge w:val="continue"/>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p>
        </w:tc>
        <w:tc>
          <w:tcPr>
            <w:tcW w:w="2138"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代数曲面</w:t>
            </w:r>
          </w:p>
        </w:tc>
        <w:tc>
          <w:tcPr>
            <w:tcW w:w="2281"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变分迭代法</w:t>
            </w:r>
          </w:p>
        </w:tc>
        <w:tc>
          <w:tcPr>
            <w:tcW w:w="2193"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微分拓扑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68" w:type="dxa"/>
            <w:vMerge w:val="continue"/>
            <w:vAlign w:val="center"/>
          </w:tcPr>
          <w:p>
            <w:pPr>
              <w:pStyle w:val="5"/>
              <w:snapToGrid w:val="0"/>
              <w:spacing w:line="360" w:lineRule="auto"/>
              <w:contextualSpacing/>
              <w:jc w:val="center"/>
              <w:rPr>
                <w:rFonts w:asciiTheme="minorEastAsia" w:hAnsiTheme="minorEastAsia" w:eastAsiaTheme="minorEastAsia"/>
                <w:color w:val="000000" w:themeColor="text1"/>
                <w:sz w:val="21"/>
                <w:szCs w:val="21"/>
              </w:rPr>
            </w:pPr>
          </w:p>
        </w:tc>
        <w:tc>
          <w:tcPr>
            <w:tcW w:w="2138"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随机控制理论</w:t>
            </w:r>
          </w:p>
        </w:tc>
        <w:tc>
          <w:tcPr>
            <w:tcW w:w="2281"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散乱数据拟合</w:t>
            </w:r>
          </w:p>
        </w:tc>
        <w:tc>
          <w:tcPr>
            <w:tcW w:w="2193" w:type="dxa"/>
            <w:vAlign w:val="center"/>
          </w:tcPr>
          <w:p>
            <w:pPr>
              <w:pStyle w:val="5"/>
              <w:snapToGrid w:val="0"/>
              <w:spacing w:line="360" w:lineRule="auto"/>
              <w:contextualSpacing/>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向量最优化理论</w:t>
            </w:r>
          </w:p>
        </w:tc>
      </w:tr>
    </w:tbl>
    <w:p>
      <w:pPr>
        <w:pStyle w:val="5"/>
        <w:snapToGrid w:val="0"/>
        <w:spacing w:line="360" w:lineRule="auto"/>
        <w:ind w:firstLine="2520" w:firstLineChars="1200"/>
        <w:contextualSpacing/>
        <w:rPr>
          <w:rFonts w:hint="eastAsia"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 xml:space="preserve"> 注：部分课程参照实际教学</w:t>
      </w:r>
    </w:p>
    <w:p>
      <w:pPr>
        <w:pStyle w:val="5"/>
        <w:snapToGrid w:val="0"/>
        <w:spacing w:line="360" w:lineRule="auto"/>
        <w:ind w:firstLine="2520" w:firstLineChars="1200"/>
        <w:contextualSpacing/>
        <w:rPr>
          <w:rFonts w:hint="eastAsia" w:asciiTheme="minorEastAsia" w:hAnsiTheme="minorEastAsia" w:eastAsiaTheme="minorEastAsia"/>
          <w:color w:val="000000" w:themeColor="text1"/>
          <w:sz w:val="21"/>
          <w:szCs w:val="21"/>
        </w:rPr>
      </w:pPr>
    </w:p>
    <w:p>
      <w:pPr>
        <w:pStyle w:val="5"/>
        <w:snapToGrid w:val="0"/>
        <w:spacing w:line="360" w:lineRule="auto"/>
        <w:ind w:firstLine="2891" w:firstLineChars="1200"/>
        <w:contextualSpacing/>
        <w:rPr>
          <w:b/>
          <w:bCs/>
          <w:color w:val="000000" w:themeColor="text1"/>
        </w:rPr>
      </w:pPr>
    </w:p>
    <w:p>
      <w:pPr>
        <w:numPr>
          <w:ilvl w:val="0"/>
          <w:numId w:val="1"/>
        </w:numPr>
        <w:rPr>
          <w:rFonts w:eastAsia="宋体"/>
          <w:b/>
          <w:bCs/>
          <w:color w:val="000000" w:themeColor="text1"/>
          <w:sz w:val="24"/>
        </w:rPr>
      </w:pPr>
      <w:r>
        <w:rPr>
          <w:rFonts w:hint="eastAsia" w:eastAsia="宋体"/>
          <w:b/>
          <w:bCs/>
          <w:color w:val="000000" w:themeColor="text1"/>
          <w:sz w:val="24"/>
        </w:rPr>
        <w:t>报考条件：</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1、拥护中华人民共和国宪法、遵守法律、法规，品行端正的在职人员。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2、申请硕士学位的在职人员应具有大学本科学历且已获得学士学位，并在 获得学士学位后工作三年以上（含三年）或者虽无学士学位但已获硕士或博士学 位，在申请学位的专业或相近专业做出成绩。                                 </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 xml:space="preserve">3、具有专科学历或本科学历无学士学位者，具有两年以上工作经验，经申 请也可报读，但不能申请硕士学位。 </w:t>
      </w:r>
    </w:p>
    <w:p>
      <w:pPr>
        <w:spacing w:line="360" w:lineRule="auto"/>
        <w:ind w:firstLine="480" w:firstLineChars="200"/>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培养方式和学制：</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授课方式：线上（录播或直播）与线下讲座相结合</w:t>
      </w:r>
    </w:p>
    <w:p>
      <w:pPr>
        <w:spacing w:line="360" w:lineRule="auto"/>
        <w:ind w:firstLine="480" w:firstLineChars="200"/>
        <w:rPr>
          <w:rFonts w:eastAsia="宋体"/>
          <w:color w:val="000000" w:themeColor="text1"/>
          <w:sz w:val="24"/>
        </w:rPr>
      </w:pPr>
      <w:r>
        <w:rPr>
          <w:rFonts w:hint="eastAsia" w:eastAsia="宋体"/>
          <w:color w:val="000000" w:themeColor="text1"/>
          <w:sz w:val="24"/>
        </w:rPr>
        <w:t>学制：1.5-2年</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报名材料：</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1、有效身份证件、学位证书、毕业证书原件并交复印件各一份；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2、填写“湖北师范大学接受在职人员以同等学力申请硕士学位登记表；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3、已发表或出版的与申请学位专业相关的学术论文、专著或其它成果 ；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4、报名时需带同一底版近期一寸免冠照片三张。    </w:t>
      </w:r>
    </w:p>
    <w:p>
      <w:pPr>
        <w:rPr>
          <w:rFonts w:eastAsia="宋体"/>
          <w:b/>
          <w:bCs/>
          <w:color w:val="000000" w:themeColor="text1"/>
          <w:sz w:val="24"/>
        </w:rPr>
      </w:pPr>
    </w:p>
    <w:p>
      <w:pPr>
        <w:numPr>
          <w:ilvl w:val="0"/>
          <w:numId w:val="1"/>
        </w:numPr>
        <w:spacing w:line="360" w:lineRule="auto"/>
        <w:rPr>
          <w:rFonts w:eastAsia="宋体"/>
          <w:b/>
          <w:bCs/>
          <w:color w:val="000000" w:themeColor="text1"/>
          <w:sz w:val="24"/>
        </w:rPr>
      </w:pPr>
      <w:r>
        <w:rPr>
          <w:rFonts w:hint="eastAsia" w:eastAsia="宋体"/>
          <w:b/>
          <w:bCs/>
          <w:color w:val="000000" w:themeColor="text1"/>
          <w:sz w:val="24"/>
        </w:rPr>
        <w:t>报名费用：</w:t>
      </w:r>
    </w:p>
    <w:p>
      <w:pPr>
        <w:spacing w:line="360" w:lineRule="auto"/>
        <w:ind w:firstLine="480" w:firstLineChars="200"/>
        <w:rPr>
          <w:color w:val="000000" w:themeColor="text1"/>
          <w:sz w:val="24"/>
        </w:rPr>
      </w:pPr>
      <w:r>
        <w:rPr>
          <w:rFonts w:hint="eastAsia"/>
          <w:color w:val="000000" w:themeColor="text1"/>
          <w:sz w:val="24"/>
        </w:rPr>
        <w:t>1、报名注册费：500元；</w:t>
      </w:r>
    </w:p>
    <w:p>
      <w:pPr>
        <w:spacing w:line="360" w:lineRule="auto"/>
        <w:ind w:firstLine="480" w:firstLineChars="200"/>
        <w:rPr>
          <w:color w:val="000000" w:themeColor="text1"/>
          <w:sz w:val="24"/>
        </w:rPr>
      </w:pPr>
      <w:r>
        <w:rPr>
          <w:rFonts w:hint="eastAsia"/>
          <w:color w:val="000000" w:themeColor="text1"/>
          <w:sz w:val="24"/>
        </w:rPr>
        <w:t>2、学费：18000元；</w:t>
      </w:r>
    </w:p>
    <w:p>
      <w:pPr>
        <w:spacing w:line="360" w:lineRule="auto"/>
        <w:ind w:firstLine="480" w:firstLineChars="200"/>
        <w:rPr>
          <w:color w:val="000000" w:themeColor="text1"/>
          <w:sz w:val="24"/>
        </w:rPr>
      </w:pPr>
      <w:r>
        <w:rPr>
          <w:rFonts w:hint="eastAsia"/>
          <w:color w:val="000000" w:themeColor="text1"/>
          <w:sz w:val="24"/>
        </w:rPr>
        <w:t>3、增费：15500元（含：教材资料费、网课平台费、学习管理费、考务综合费、教研活动费</w:t>
      </w:r>
      <w:r>
        <w:rPr>
          <w:color w:val="000000" w:themeColor="text1"/>
          <w:sz w:val="24"/>
        </w:rPr>
        <w:t>—</w:t>
      </w:r>
      <w:r>
        <w:rPr>
          <w:rFonts w:hint="eastAsia"/>
          <w:color w:val="000000" w:themeColor="text1"/>
          <w:sz w:val="24"/>
        </w:rPr>
        <w:t>讲座、班务管理费）。</w:t>
      </w:r>
    </w:p>
    <w:p>
      <w:pPr>
        <w:spacing w:line="360" w:lineRule="auto"/>
        <w:ind w:firstLine="480" w:firstLineChars="200"/>
        <w:rPr>
          <w:color w:val="000000" w:themeColor="text1"/>
          <w:sz w:val="24"/>
        </w:rPr>
      </w:pPr>
      <w:r>
        <w:rPr>
          <w:rFonts w:hint="eastAsia"/>
          <w:color w:val="000000" w:themeColor="text1"/>
          <w:sz w:val="24"/>
        </w:rPr>
        <w:t>4、答辩费：4000元</w:t>
      </w:r>
    </w:p>
    <w:p>
      <w:pPr>
        <w:rPr>
          <w:rFonts w:eastAsia="宋体"/>
          <w:b/>
          <w:bCs/>
          <w:color w:val="000000" w:themeColor="text1"/>
          <w:sz w:val="24"/>
        </w:rPr>
      </w:pPr>
    </w:p>
    <w:p>
      <w:pPr>
        <w:numPr>
          <w:ilvl w:val="0"/>
          <w:numId w:val="1"/>
        </w:numPr>
        <w:rPr>
          <w:rFonts w:eastAsia="宋体"/>
          <w:b/>
          <w:bCs/>
          <w:color w:val="000000" w:themeColor="text1"/>
          <w:sz w:val="24"/>
        </w:rPr>
      </w:pPr>
      <w:bookmarkStart w:id="0" w:name="_GoBack"/>
      <w:r>
        <w:rPr>
          <w:rFonts w:hint="eastAsia" w:eastAsia="宋体"/>
          <w:b/>
          <w:bCs/>
          <w:color w:val="000000" w:themeColor="text1"/>
          <w:sz w:val="24"/>
        </w:rPr>
        <w:t>获取证书：</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1、学员完成课程学习且成绩合格，由学校颁发 “湖北师范大学研究生课程进修班结业证书”（加盖湖北师范大学的钢印、红印、 校长印）； </w:t>
      </w:r>
    </w:p>
    <w:p>
      <w:pPr>
        <w:spacing w:line="360" w:lineRule="auto"/>
        <w:ind w:firstLine="480" w:firstLineChars="200"/>
        <w:rPr>
          <w:rFonts w:eastAsia="宋体"/>
          <w:b/>
          <w:bCs/>
          <w:color w:val="000000" w:themeColor="text1"/>
          <w:sz w:val="24"/>
        </w:rPr>
      </w:pPr>
      <w:r>
        <w:rPr>
          <w:rFonts w:hint="eastAsia" w:eastAsia="宋体"/>
          <w:color w:val="000000" w:themeColor="text1"/>
          <w:sz w:val="24"/>
        </w:rPr>
        <w:t>2、满足同等学力申请硕士学位条件学员可申请申硕考试，成绩合格可获取湖北师范大学硕士学位证书，学位网可查。</w:t>
      </w:r>
    </w:p>
    <w:bookmarkEnd w:id="0"/>
    <w:p>
      <w:pPr>
        <w:rPr>
          <w:rFonts w:hint="eastAsia" w:eastAsia="宋体"/>
          <w:b/>
          <w:bCs/>
          <w:color w:val="000000" w:themeColor="text1"/>
          <w:sz w:val="24"/>
        </w:rPr>
      </w:pPr>
    </w:p>
    <w:p>
      <w:pPr>
        <w:rPr>
          <w:rFonts w:hint="eastAsia" w:eastAsia="宋体"/>
          <w:b/>
          <w:bCs/>
          <w:color w:val="000000" w:themeColor="text1"/>
          <w:sz w:val="24"/>
        </w:rPr>
      </w:pPr>
    </w:p>
    <w:p>
      <w:pPr>
        <w:rPr>
          <w:rFonts w:eastAsia="宋体"/>
          <w:b/>
          <w:bCs/>
          <w:color w:val="000000" w:themeColor="text1"/>
          <w:sz w:val="24"/>
        </w:rPr>
      </w:pPr>
    </w:p>
    <w:p>
      <w:pPr>
        <w:rPr>
          <w:rFonts w:eastAsia="宋体"/>
          <w:color w:val="000000" w:themeColor="text1"/>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052060"/>
          <wp:effectExtent l="0" t="0" r="0" b="0"/>
          <wp:wrapNone/>
          <wp:docPr id="1" name="WordPictureWatermark18582" descr="湖北师范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582" descr="湖北师范大学LOGO"/>
                  <pic:cNvPicPr>
                    <a:picLocks noChangeAspect="1"/>
                  </pic:cNvPicPr>
                </pic:nvPicPr>
                <pic:blipFill>
                  <a:blip r:embed="rId1">
                    <a:lum bright="69998" contrast="-70001"/>
                  </a:blip>
                  <a:stretch>
                    <a:fillRect/>
                  </a:stretch>
                </pic:blipFill>
                <pic:spPr>
                  <a:xfrm>
                    <a:off x="0" y="0"/>
                    <a:ext cx="5274310" cy="50520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95593"/>
    <w:multiLevelType w:val="singleLevel"/>
    <w:tmpl w:val="D6B955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930ED"/>
    <w:rsid w:val="001E1514"/>
    <w:rsid w:val="002342AB"/>
    <w:rsid w:val="00A1608E"/>
    <w:rsid w:val="00B528F8"/>
    <w:rsid w:val="00CE292F"/>
    <w:rsid w:val="017738CD"/>
    <w:rsid w:val="0924390F"/>
    <w:rsid w:val="101A095E"/>
    <w:rsid w:val="1B8767F8"/>
    <w:rsid w:val="2971232D"/>
    <w:rsid w:val="322C2AC2"/>
    <w:rsid w:val="3F127968"/>
    <w:rsid w:val="4B595786"/>
    <w:rsid w:val="4F617468"/>
    <w:rsid w:val="61A307E3"/>
    <w:rsid w:val="68BB4662"/>
    <w:rsid w:val="786F07FB"/>
    <w:rsid w:val="796930ED"/>
    <w:rsid w:val="7D492171"/>
    <w:rsid w:val="7FCF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批注框文本 Char"/>
    <w:basedOn w:val="8"/>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297</Words>
  <Characters>1696</Characters>
  <Lines>14</Lines>
  <Paragraphs>3</Paragraphs>
  <TotalTime>31</TotalTime>
  <ScaleCrop>false</ScaleCrop>
  <LinksUpToDate>false</LinksUpToDate>
  <CharactersWithSpaces>1990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2021-10-08T07:00:00Z</dcterms:created>
  <dc:creator>读研MBA-言言</dc:creator>
  <cp:lastModifiedBy>冰冰⊙▽⊙＊</cp:lastModifiedBy>
  <dcterms:modified xsi:type="dcterms:W3CDTF">2021-11-03T09:47:35Z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E26640C1FD5E4826BB3AF25872A01B89</vt:lpwstr>
  </property>
</Properties>
</file>