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4000500" cy="1414780"/>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997241" cy="1413890"/>
                    </a:xfrm>
                    <a:prstGeom prst="rect">
                      <a:avLst/>
                    </a:prstGeom>
                  </pic:spPr>
                </pic:pic>
              </a:graphicData>
            </a:graphic>
          </wp:inline>
        </w:drawing>
      </w: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课程与教学论--音乐专业招生简章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eastAsia="宋体"/>
          <w:color w:val="000000" w:themeColor="text1"/>
          <w:sz w:val="24"/>
        </w:rPr>
      </w:pPr>
      <w:r>
        <w:rPr>
          <w:rFonts w:hint="eastAsia" w:eastAsia="宋体"/>
          <w:color w:val="000000" w:themeColor="text1"/>
          <w:sz w:val="24"/>
        </w:rPr>
        <w:t>课程与教学论是教育学专业硕士研究生开设的一门专业课程，包含有课程论、教学论、学科教学论等，课程与教学是学校教育的基本工作，是教师在每日工作中需要解决实际的课程与教学问题，目前本校开设了课程与教学音乐专业同等学力申硕学习班，为广大在职社会需要晋升人士提供提升学历的学习机会。</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pStyle w:val="6"/>
        <w:spacing w:before="0" w:beforeAutospacing="0" w:after="0" w:afterAutospacing="0" w:line="462" w:lineRule="atLeast"/>
        <w:ind w:firstLine="480" w:firstLineChars="200"/>
        <w:rPr>
          <w:rFonts w:asciiTheme="minorEastAsia" w:hAnsiTheme="minorEastAsia" w:cstheme="minorEastAsia"/>
          <w:color w:val="000000" w:themeColor="text1"/>
        </w:rPr>
      </w:pPr>
      <w:r>
        <w:rPr>
          <w:rFonts w:hint="eastAsia" w:asciiTheme="minorEastAsia" w:hAnsiTheme="minorEastAsia" w:cstheme="minorEastAsia"/>
          <w:color w:val="000000" w:themeColor="text1"/>
        </w:rPr>
        <w:t>本专业主要通过学习和掌握音乐课程与教学论的基础理论和专业知识，培养具有良好道德修养和较高文化素养的，系统地掌握本专业研究方向基础知识和理论，具有音乐相关学科的知识修养和一定的音乐教育理论素养和学术视野，能够熟练的阅读和掌握相关外文文献和撰写外文科研论文的，适应国家高等教育和基础教育发展需求的复合型音乐教育人才，同时具有从事音乐教育科学研究的创新意识和独立从事音乐教育科学研究的能力的音乐人才。</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【申硕科目少】学员满足申硕条件参加全国统一同等学力申请硕士学位考试，外语+</w:t>
      </w:r>
      <w:r>
        <w:rPr>
          <w:rFonts w:hint="eastAsia" w:ascii="宋体" w:hAnsi="宋体"/>
          <w:color w:val="000000" w:themeColor="text1"/>
          <w:sz w:val="24"/>
        </w:rPr>
        <w:t>专业综合，百分制六十分及格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8"/>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8"/>
        <w:gridCol w:w="2560"/>
        <w:gridCol w:w="3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99" w:type="dxa"/>
            <w:gridSpan w:val="3"/>
            <w:vAlign w:val="center"/>
          </w:tcPr>
          <w:p>
            <w:pPr>
              <w:pStyle w:val="6"/>
              <w:snapToGrid w:val="0"/>
              <w:spacing w:line="360" w:lineRule="auto"/>
              <w:contextualSpacing/>
              <w:jc w:val="center"/>
              <w:rPr>
                <w:rFonts w:asciiTheme="minorEastAsia" w:hAnsiTheme="minorEastAsia" w:eastAsiaTheme="minorEastAsia"/>
                <w:color w:val="000000" w:themeColor="text1"/>
              </w:rPr>
            </w:pPr>
            <w:r>
              <w:rPr>
                <w:rFonts w:hint="eastAsia" w:asciiTheme="minorEastAsia" w:hAnsiTheme="minorEastAsia" w:eastAsiaTheme="minorEastAsia"/>
                <w:b/>
                <w:bCs/>
                <w:color w:val="000000" w:themeColor="text1"/>
              </w:rPr>
              <w:t>课程与教学论音乐专业课程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jc w:val="center"/>
              <w:rPr>
                <w:color w:val="000000" w:themeColor="text1"/>
              </w:rPr>
            </w:pPr>
            <w:r>
              <w:rPr>
                <w:color w:val="000000" w:themeColor="text1"/>
              </w:rPr>
              <w:t>中国特色社会主义理论与实践</w:t>
            </w:r>
          </w:p>
        </w:tc>
        <w:tc>
          <w:tcPr>
            <w:tcW w:w="2560" w:type="dxa"/>
            <w:vAlign w:val="center"/>
          </w:tcPr>
          <w:p>
            <w:pPr>
              <w:pStyle w:val="6"/>
              <w:snapToGrid w:val="0"/>
              <w:spacing w:line="360" w:lineRule="auto"/>
              <w:contextualSpacing/>
              <w:jc w:val="center"/>
              <w:rPr>
                <w:bCs/>
                <w:color w:val="000000" w:themeColor="text1"/>
                <w:sz w:val="21"/>
                <w:szCs w:val="21"/>
              </w:rPr>
            </w:pPr>
            <w:r>
              <w:rPr>
                <w:rFonts w:hint="eastAsia"/>
                <w:bCs/>
                <w:color w:val="000000" w:themeColor="text1"/>
                <w:sz w:val="21"/>
                <w:szCs w:val="21"/>
              </w:rPr>
              <w:t>自然辩证法概论</w:t>
            </w:r>
          </w:p>
        </w:tc>
        <w:tc>
          <w:tcPr>
            <w:tcW w:w="3281" w:type="dxa"/>
            <w:vAlign w:val="center"/>
          </w:tcPr>
          <w:p>
            <w:pPr>
              <w:pStyle w:val="6"/>
              <w:snapToGrid w:val="0"/>
              <w:spacing w:line="360" w:lineRule="auto"/>
              <w:contextualSpacing/>
              <w:jc w:val="center"/>
              <w:rPr>
                <w:bCs/>
                <w:color w:val="000000" w:themeColor="text1"/>
                <w:sz w:val="21"/>
                <w:szCs w:val="21"/>
              </w:rPr>
            </w:pPr>
            <w:r>
              <w:rPr>
                <w:rFonts w:hint="eastAsia"/>
                <w:bCs/>
                <w:color w:val="000000" w:themeColor="text1"/>
                <w:sz w:val="21"/>
                <w:szCs w:val="21"/>
              </w:rPr>
              <w:t>现代教育学原理导论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教育科学研究方法</w:t>
            </w:r>
          </w:p>
        </w:tc>
        <w:tc>
          <w:tcPr>
            <w:tcW w:w="2560" w:type="dxa"/>
            <w:vAlign w:val="center"/>
          </w:tcPr>
          <w:p>
            <w:pPr>
              <w:spacing w:line="220" w:lineRule="atLeast"/>
              <w:jc w:val="center"/>
              <w:rPr>
                <w:color w:val="000000" w:themeColor="text1"/>
              </w:rPr>
            </w:pPr>
            <w:r>
              <w:rPr>
                <w:rFonts w:hint="eastAsia"/>
                <w:color w:val="000000" w:themeColor="text1"/>
              </w:rPr>
              <w:t>第一外国语</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音乐课程论</w:t>
            </w:r>
          </w:p>
        </w:tc>
        <w:tc>
          <w:tcPr>
            <w:tcW w:w="2560"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音乐专业教学研究</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音乐专业作品分析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音乐文献与研究方法</w:t>
            </w:r>
          </w:p>
        </w:tc>
        <w:tc>
          <w:tcPr>
            <w:tcW w:w="2560"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民族音乐概论</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音乐美学概论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8" w:type="dxa"/>
            <w:vAlign w:val="center"/>
          </w:tcPr>
          <w:p>
            <w:pPr>
              <w:spacing w:line="220" w:lineRule="atLeast"/>
              <w:jc w:val="center"/>
              <w:rPr>
                <w:color w:val="000000" w:themeColor="text1"/>
              </w:rPr>
            </w:pPr>
            <w:r>
              <w:rPr>
                <w:rFonts w:hint="eastAsia"/>
                <w:color w:val="000000" w:themeColor="text1"/>
              </w:rPr>
              <w:t>马克思主义与社会科学方法论</w:t>
            </w:r>
          </w:p>
        </w:tc>
        <w:tc>
          <w:tcPr>
            <w:tcW w:w="2560"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当代音乐教育</w:t>
            </w:r>
          </w:p>
        </w:tc>
        <w:tc>
          <w:tcPr>
            <w:tcW w:w="3281" w:type="dxa"/>
            <w:vAlign w:val="center"/>
          </w:tcPr>
          <w:p>
            <w:pPr>
              <w:pStyle w:val="6"/>
              <w:snapToGrid w:val="0"/>
              <w:spacing w:line="360" w:lineRule="auto"/>
              <w:contextualSpacing/>
              <w:jc w:val="center"/>
              <w:rPr>
                <w:color w:val="000000" w:themeColor="text1"/>
                <w:sz w:val="21"/>
                <w:szCs w:val="21"/>
              </w:rPr>
            </w:pPr>
            <w:r>
              <w:rPr>
                <w:rFonts w:hint="eastAsia"/>
                <w:color w:val="000000" w:themeColor="text1"/>
                <w:sz w:val="21"/>
                <w:szCs w:val="21"/>
              </w:rPr>
              <w:t>音乐教育研究方法与论文写作</w:t>
            </w:r>
          </w:p>
        </w:tc>
      </w:tr>
    </w:tbl>
    <w:p>
      <w:pPr>
        <w:pStyle w:val="6"/>
        <w:snapToGrid w:val="0"/>
        <w:spacing w:line="360" w:lineRule="auto"/>
        <w:ind w:firstLine="2730" w:firstLineChars="1300"/>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 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bookmarkStart w:id="0" w:name="_GoBack"/>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bookmarkEnd w:id="0"/>
      <w:r>
        <w:rPr>
          <w:rFonts w:hint="eastAsia" w:eastAsia="宋体"/>
          <w:color w:val="000000" w:themeColor="text1"/>
          <w:sz w:val="24"/>
        </w:rPr>
        <w:t xml:space="preserve">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2、学费：18000元；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eastAsia="宋体"/>
          <w:b/>
          <w:bCs/>
          <w:color w:val="000000" w:themeColor="text1"/>
          <w:sz w:val="24"/>
        </w:rPr>
      </w:pPr>
    </w:p>
    <w:p>
      <w:pPr>
        <w:spacing w:line="360" w:lineRule="auto"/>
        <w:ind w:firstLine="480" w:firstLineChars="200"/>
        <w:rPr>
          <w:rFonts w:asciiTheme="minorEastAsia" w:hAnsiTheme="minorEastAsia" w:cstheme="minorEastAsia"/>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461EDA"/>
    <w:rsid w:val="008155C6"/>
    <w:rsid w:val="00E0271B"/>
    <w:rsid w:val="00F02820"/>
    <w:rsid w:val="00F6071F"/>
    <w:rsid w:val="05FE7AC9"/>
    <w:rsid w:val="07352E6D"/>
    <w:rsid w:val="09A653FE"/>
    <w:rsid w:val="10191206"/>
    <w:rsid w:val="130B01B1"/>
    <w:rsid w:val="16F829FB"/>
    <w:rsid w:val="19671257"/>
    <w:rsid w:val="1D525E44"/>
    <w:rsid w:val="1D6E34EA"/>
    <w:rsid w:val="38373238"/>
    <w:rsid w:val="39B91BA0"/>
    <w:rsid w:val="3A7D2394"/>
    <w:rsid w:val="3ED4496D"/>
    <w:rsid w:val="40272A16"/>
    <w:rsid w:val="4127154A"/>
    <w:rsid w:val="42201739"/>
    <w:rsid w:val="462B4F19"/>
    <w:rsid w:val="467E54CB"/>
    <w:rsid w:val="47150AA3"/>
    <w:rsid w:val="4A726E33"/>
    <w:rsid w:val="4E816049"/>
    <w:rsid w:val="50E70A65"/>
    <w:rsid w:val="5B7D1C3C"/>
    <w:rsid w:val="5CD02917"/>
    <w:rsid w:val="5CD660E6"/>
    <w:rsid w:val="5D802D5E"/>
    <w:rsid w:val="5E78697C"/>
    <w:rsid w:val="5F2F47AD"/>
    <w:rsid w:val="63820B92"/>
    <w:rsid w:val="65173A33"/>
    <w:rsid w:val="68BB4662"/>
    <w:rsid w:val="6C707741"/>
    <w:rsid w:val="6D3A50CA"/>
    <w:rsid w:val="6F8233A6"/>
    <w:rsid w:val="74D46C36"/>
    <w:rsid w:val="796930ED"/>
    <w:rsid w:val="79BA3DFB"/>
    <w:rsid w:val="7D9D0D4D"/>
    <w:rsid w:val="7DB06D80"/>
    <w:rsid w:val="7EAC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283</Words>
  <Characters>1619</Characters>
  <Lines>13</Lines>
  <Paragraphs>3</Paragraphs>
  <TotalTime>66</TotalTime>
  <ScaleCrop>false</ScaleCrop>
  <LinksUpToDate>false</LinksUpToDate>
  <CharactersWithSpaces>1899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2021-11-03T08:59:52Z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DE25B0E7341341D99EDC665A5963B6CE</vt:lpwstr>
  </property>
</Properties>
</file>