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000000" w:themeColor="text1"/>
        </w:rPr>
      </w:pPr>
      <w:r>
        <w:rPr>
          <w:rFonts w:hint="eastAsia" w:eastAsia="宋体"/>
          <w:color w:val="000000" w:themeColor="text1"/>
        </w:rPr>
        <w:drawing>
          <wp:inline distT="0" distB="0" distL="114300" distR="114300">
            <wp:extent cx="4086225" cy="1445260"/>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4082896" cy="1444189"/>
                    </a:xfrm>
                    <a:prstGeom prst="rect">
                      <a:avLst/>
                    </a:prstGeom>
                  </pic:spPr>
                </pic:pic>
              </a:graphicData>
            </a:graphic>
          </wp:inline>
        </w:drawing>
      </w:r>
    </w:p>
    <w:p>
      <w:pPr>
        <w:jc w:val="center"/>
        <w:rPr>
          <w:rFonts w:hint="eastAsia" w:eastAsia="宋体"/>
          <w:color w:val="000000" w:themeColor="text1"/>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课程与教学论--物理专业招生简章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课程与教学论是教育学专业硕士研究生开设的一门专业课程，包含有课程论、教学论、学科教学论等，课程与教学是学校教育的基本工作，是教师在每日工作中需要解决实际的课程与教学问题，目前本校开设了课程与教学论物理专业同等学力申硕学习班，为广大在职社会需要晋升人士提供提升学历的学习机会。</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本专业培养具备物理教育教学领域坚实的基础理论和系统的专门知识，熟悉基础教育改革，掌握基础教育改革的新理念、新内容和新方法，具有较强的解决实际问题的能力，能够承担物理专业的教育教学和研究工作的高素质应用型人才。</w:t>
      </w:r>
    </w:p>
    <w:p>
      <w:pPr>
        <w:spacing w:line="360" w:lineRule="auto"/>
        <w:ind w:firstLine="480" w:firstLineChars="200"/>
        <w:rPr>
          <w:rFonts w:hint="eastAsia" w:eastAsia="宋体"/>
          <w:color w:val="000000" w:themeColor="text1"/>
          <w:sz w:val="24"/>
        </w:rPr>
      </w:pPr>
    </w:p>
    <w:p>
      <w:pPr>
        <w:spacing w:line="360" w:lineRule="auto"/>
        <w:ind w:firstLine="480" w:firstLineChars="200"/>
        <w:rPr>
          <w:rFonts w:hint="eastAsia" w:eastAsia="宋体"/>
          <w:color w:val="000000" w:themeColor="text1"/>
          <w:sz w:val="24"/>
        </w:rPr>
      </w:pP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8"/>
        <w:gridCol w:w="2381"/>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3"/>
            <w:vAlign w:val="center"/>
          </w:tcPr>
          <w:p>
            <w:pPr>
              <w:pStyle w:val="5"/>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课程与教学论--物理专业课程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jc w:val="center"/>
              <w:rPr>
                <w:color w:val="000000" w:themeColor="text1"/>
              </w:rPr>
            </w:pPr>
            <w:r>
              <w:rPr>
                <w:color w:val="000000" w:themeColor="text1"/>
              </w:rPr>
              <w:t>中国特色社会主义理论与实践</w:t>
            </w:r>
          </w:p>
        </w:tc>
        <w:tc>
          <w:tcPr>
            <w:tcW w:w="2381" w:type="dxa"/>
            <w:vAlign w:val="center"/>
          </w:tcPr>
          <w:p>
            <w:pPr>
              <w:spacing w:line="220" w:lineRule="atLeast"/>
              <w:jc w:val="center"/>
              <w:rPr>
                <w:color w:val="000000" w:themeColor="text1"/>
              </w:rPr>
            </w:pPr>
            <w:r>
              <w:rPr>
                <w:rFonts w:hint="eastAsia"/>
                <w:color w:val="000000" w:themeColor="text1"/>
              </w:rPr>
              <w:t>第一外国语</w:t>
            </w:r>
          </w:p>
        </w:tc>
        <w:tc>
          <w:tcPr>
            <w:tcW w:w="3155" w:type="dxa"/>
            <w:vAlign w:val="center"/>
          </w:tcPr>
          <w:p>
            <w:pPr>
              <w:spacing w:line="220" w:lineRule="atLeast"/>
              <w:jc w:val="center"/>
              <w:rPr>
                <w:color w:val="000000" w:themeColor="text1"/>
              </w:rPr>
            </w:pPr>
            <w:r>
              <w:rPr>
                <w:rFonts w:hint="eastAsia"/>
                <w:color w:val="000000" w:themeColor="text1"/>
              </w:rPr>
              <w:t>现代教育原理导论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教育基本理论专题研究</w:t>
            </w:r>
          </w:p>
        </w:tc>
        <w:tc>
          <w:tcPr>
            <w:tcW w:w="2381" w:type="dxa"/>
            <w:vAlign w:val="center"/>
          </w:tcPr>
          <w:p>
            <w:pPr>
              <w:spacing w:line="220" w:lineRule="atLeast"/>
              <w:jc w:val="center"/>
              <w:rPr>
                <w:color w:val="000000" w:themeColor="text1"/>
              </w:rPr>
            </w:pPr>
            <w:r>
              <w:rPr>
                <w:rFonts w:hint="eastAsia"/>
                <w:color w:val="000000" w:themeColor="text1"/>
              </w:rPr>
              <w:t>教育研究方法导论</w:t>
            </w:r>
          </w:p>
        </w:tc>
        <w:tc>
          <w:tcPr>
            <w:tcW w:w="3155"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物理学研究方法论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物理课程与教学论</w:t>
            </w:r>
          </w:p>
        </w:tc>
        <w:tc>
          <w:tcPr>
            <w:tcW w:w="2381"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教育学</w:t>
            </w:r>
          </w:p>
        </w:tc>
        <w:tc>
          <w:tcPr>
            <w:tcW w:w="3155"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物理教育测量与评价</w:t>
            </w:r>
          </w:p>
        </w:tc>
        <w:tc>
          <w:tcPr>
            <w:tcW w:w="2381"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物理实验教学研究</w:t>
            </w:r>
          </w:p>
        </w:tc>
        <w:tc>
          <w:tcPr>
            <w:tcW w:w="3155" w:type="dxa"/>
            <w:vAlign w:val="center"/>
          </w:tcPr>
          <w:p>
            <w:pPr>
              <w:spacing w:line="220" w:lineRule="atLeast"/>
              <w:jc w:val="center"/>
              <w:rPr>
                <w:color w:val="000000" w:themeColor="text1"/>
              </w:rPr>
            </w:pPr>
            <w:r>
              <w:rPr>
                <w:rFonts w:hint="eastAsia"/>
                <w:color w:val="000000" w:themeColor="text1"/>
              </w:rPr>
              <w:t>马克思主义与社会科学方法论</w:t>
            </w:r>
          </w:p>
        </w:tc>
      </w:tr>
    </w:tbl>
    <w:p>
      <w:pPr>
        <w:pStyle w:val="5"/>
        <w:snapToGrid w:val="0"/>
        <w:spacing w:line="360" w:lineRule="auto"/>
        <w:ind w:firstLine="2730" w:firstLineChars="1300"/>
        <w:contextualSpacing/>
        <w:rPr>
          <w:b/>
          <w:bCs/>
          <w:color w:val="000000" w:themeColor="text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3、具有专科学历或本科学历无学士学位者，具有两年以上工作经验，经申请也可报读，但不能申请硕士学位。 </w:t>
      </w: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w:t>
      </w:r>
      <w:bookmarkStart w:id="0" w:name="_GoBack"/>
      <w:r>
        <w:rPr>
          <w:rFonts w:hint="eastAsia" w:eastAsia="宋体"/>
          <w:color w:val="000000" w:themeColor="text1"/>
          <w:sz w:val="24"/>
        </w:rPr>
        <w:t>1.5-2年</w:t>
      </w:r>
      <w:bookmarkEnd w:id="0"/>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rPr>
          <w:rFonts w:eastAsia="宋体"/>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0D1A71"/>
    <w:rsid w:val="003B483F"/>
    <w:rsid w:val="006B66BF"/>
    <w:rsid w:val="007C235B"/>
    <w:rsid w:val="00963461"/>
    <w:rsid w:val="00B16082"/>
    <w:rsid w:val="00F61555"/>
    <w:rsid w:val="05FE7AC9"/>
    <w:rsid w:val="07352E6D"/>
    <w:rsid w:val="09A653FE"/>
    <w:rsid w:val="0A503CE9"/>
    <w:rsid w:val="130B01B1"/>
    <w:rsid w:val="16F829FB"/>
    <w:rsid w:val="19671257"/>
    <w:rsid w:val="38373238"/>
    <w:rsid w:val="39B91BA0"/>
    <w:rsid w:val="3A7D2394"/>
    <w:rsid w:val="4127154A"/>
    <w:rsid w:val="462B4F19"/>
    <w:rsid w:val="467E54CB"/>
    <w:rsid w:val="47150AA3"/>
    <w:rsid w:val="49BF1CE3"/>
    <w:rsid w:val="4A726E33"/>
    <w:rsid w:val="50E70A65"/>
    <w:rsid w:val="5CD02917"/>
    <w:rsid w:val="5E78697C"/>
    <w:rsid w:val="68BB4662"/>
    <w:rsid w:val="734B3335"/>
    <w:rsid w:val="796930ED"/>
    <w:rsid w:val="79BA3DFB"/>
    <w:rsid w:val="7D9D0D4D"/>
    <w:rsid w:val="7EAC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1518</Characters>
  <Lines>12</Lines>
  <Paragraphs>3</Paragraphs>
  <TotalTime>8</TotalTime>
  <ScaleCrop>false</ScaleCrop>
  <LinksUpToDate>false</LinksUpToDate>
  <CharactersWithSpaces>1781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2021-11-03T05:34:16Z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9BE9627615474FF1A5EED0326E975A65</vt:lpwstr>
  </property>
</Properties>
</file>