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bookmarkStart w:id="0" w:name="_GoBack"/>
      <w:bookmarkEnd w:id="0"/>
      <w:r>
        <w:rPr>
          <w:rFonts w:hint="eastAsia" w:eastAsia="宋体"/>
          <w:color w:val="000000" w:themeColor="text1"/>
        </w:rPr>
        <w:drawing>
          <wp:inline distT="0" distB="0" distL="114300" distR="114300">
            <wp:extent cx="4400550" cy="1556385"/>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4396965" cy="1555280"/>
                    </a:xfrm>
                    <a:prstGeom prst="rect">
                      <a:avLst/>
                    </a:prstGeom>
                  </pic:spPr>
                </pic:pic>
              </a:graphicData>
            </a:graphic>
          </wp:inline>
        </w:drawing>
      </w:r>
    </w:p>
    <w:p>
      <w:pPr>
        <w:ind w:firstLine="723" w:firstLineChars="200"/>
        <w:rPr>
          <w:rFonts w:eastAsia="宋体"/>
          <w:b/>
          <w:bCs/>
          <w:color w:val="000000" w:themeColor="text1"/>
          <w:sz w:val="36"/>
          <w:szCs w:val="36"/>
        </w:rPr>
      </w:pPr>
      <w:r>
        <w:rPr>
          <w:rFonts w:hint="eastAsia" w:eastAsia="宋体"/>
          <w:b/>
          <w:bCs/>
          <w:color w:val="000000" w:themeColor="text1"/>
          <w:sz w:val="36"/>
          <w:szCs w:val="36"/>
        </w:rPr>
        <w:t xml:space="preserve">湖北师范大学同等学力申请硕士学位教育技术 </w:t>
      </w:r>
    </w:p>
    <w:p>
      <w:pPr>
        <w:ind w:firstLine="3253" w:firstLineChars="900"/>
        <w:rPr>
          <w:rFonts w:eastAsia="宋体"/>
          <w:b/>
          <w:bCs/>
          <w:color w:val="000000" w:themeColor="text1"/>
          <w:sz w:val="36"/>
          <w:szCs w:val="36"/>
        </w:rPr>
      </w:pPr>
      <w:r>
        <w:rPr>
          <w:rFonts w:hint="eastAsia" w:eastAsia="宋体"/>
          <w:b/>
          <w:bCs/>
          <w:color w:val="000000" w:themeColor="text1"/>
          <w:sz w:val="36"/>
          <w:szCs w:val="36"/>
        </w:rPr>
        <w:t>专业招生简章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color w:val="000000" w:themeColor="text1"/>
          <w:sz w:val="24"/>
        </w:rPr>
      </w:pPr>
      <w:r>
        <w:rPr>
          <w:rFonts w:hint="eastAsia" w:eastAsia="宋体"/>
          <w:color w:val="000000" w:themeColor="text1"/>
          <w:sz w:val="24"/>
        </w:rPr>
        <w:t>教育技术学是融合现代科学技术和教育理论应用而产生的综合型、应用型学科，随着教育内容的复杂化和信息技术的迅速发展，教育技术学应运而生为培养教育信息化的建设者、管理者、研究者，培养能够在新技术教育领域从事教学资源、教学媒体和教学系统设计、开发、运用管理和评价等的教育技术学科人才。</w:t>
      </w:r>
    </w:p>
    <w:p>
      <w:pPr>
        <w:spacing w:line="360" w:lineRule="auto"/>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spacing w:line="360" w:lineRule="auto"/>
        <w:ind w:firstLine="480" w:firstLineChars="200"/>
        <w:rPr>
          <w:rFonts w:eastAsia="宋体"/>
          <w:color w:val="000000" w:themeColor="text1"/>
          <w:sz w:val="24"/>
        </w:rPr>
      </w:pPr>
      <w:r>
        <w:rPr>
          <w:rFonts w:hint="eastAsia" w:eastAsia="宋体"/>
          <w:color w:val="000000" w:themeColor="text1"/>
          <w:sz w:val="24"/>
        </w:rPr>
        <w:t>本专业主要通过学习教育技术专业的相关基础知识和理论，培养具有良好的政治思想素质和人文科学素养以及较强的创新精神和实践能力，为各类高等院校、教育研究机构、教育行政部门及学校培养具有厚实的教育管理基础理论、能运用现代科学方法和手段研究解决实际问题、从事教学和科研及管理工作的复合型高级专门人才。</w:t>
      </w:r>
    </w:p>
    <w:p>
      <w:pPr>
        <w:spacing w:line="360" w:lineRule="auto"/>
        <w:ind w:firstLine="480" w:firstLineChars="200"/>
        <w:rPr>
          <w:rFonts w:eastAsia="宋体"/>
          <w:color w:val="000000" w:themeColor="text1"/>
          <w:sz w:val="24"/>
        </w:rPr>
      </w:pP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left="420"/>
        <w:rPr>
          <w:rFonts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left="420"/>
        <w:rPr>
          <w:rFonts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left="42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【申硕科目少】学员满足申硕条件参加全国统一同等学力申请硕士学位考试，外语+</w:t>
      </w:r>
      <w:r>
        <w:rPr>
          <w:rFonts w:hint="eastAsia" w:ascii="宋体" w:hAnsi="宋体"/>
          <w:color w:val="000000" w:themeColor="text1"/>
          <w:sz w:val="24"/>
        </w:rPr>
        <w:t>专业综合，百分制六十分及格</w:t>
      </w:r>
      <w:r>
        <w:rPr>
          <w:rFonts w:hint="eastAsia" w:ascii="宋体" w:hAnsi="宋体" w:eastAsia="宋体" w:cs="Times New Roman"/>
          <w:color w:val="000000" w:themeColor="text1"/>
          <w:sz w:val="24"/>
        </w:rPr>
        <w:t>难度较低；</w:t>
      </w:r>
    </w:p>
    <w:p>
      <w:pPr>
        <w:spacing w:line="360" w:lineRule="auto"/>
        <w:ind w:left="420"/>
        <w:rPr>
          <w:rFonts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left="42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left="420"/>
        <w:rPr>
          <w:rFonts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7"/>
        <w:tblW w:w="8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7"/>
        <w:gridCol w:w="2410"/>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0" w:type="dxa"/>
            <w:gridSpan w:val="3"/>
            <w:vAlign w:val="center"/>
          </w:tcPr>
          <w:p>
            <w:pPr>
              <w:pStyle w:val="5"/>
              <w:snapToGrid w:val="0"/>
              <w:spacing w:line="360" w:lineRule="auto"/>
              <w:contextualSpacing/>
              <w:jc w:val="center"/>
              <w:rPr>
                <w:rFonts w:asciiTheme="minorEastAsia" w:hAnsiTheme="minorEastAsia" w:eastAsiaTheme="minorEastAsia"/>
                <w:color w:val="000000" w:themeColor="text1"/>
              </w:rPr>
            </w:pPr>
            <w:r>
              <w:rPr>
                <w:rFonts w:hint="eastAsia" w:asciiTheme="minorEastAsia" w:hAnsiTheme="minorEastAsia" w:eastAsiaTheme="minorEastAsia"/>
                <w:b/>
                <w:bCs/>
                <w:color w:val="000000" w:themeColor="text1"/>
              </w:rPr>
              <w:t>教育技术专业课程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vAlign w:val="center"/>
          </w:tcPr>
          <w:p>
            <w:pPr>
              <w:spacing w:line="220" w:lineRule="atLeast"/>
              <w:jc w:val="center"/>
              <w:rPr>
                <w:color w:val="000000" w:themeColor="text1"/>
              </w:rPr>
            </w:pPr>
            <w:r>
              <w:rPr>
                <w:rFonts w:hint="eastAsia"/>
                <w:color w:val="000000" w:themeColor="text1"/>
              </w:rPr>
              <w:t>教育心理学</w:t>
            </w:r>
          </w:p>
        </w:tc>
        <w:tc>
          <w:tcPr>
            <w:tcW w:w="2410" w:type="dxa"/>
            <w:vAlign w:val="center"/>
          </w:tcPr>
          <w:p>
            <w:pPr>
              <w:spacing w:line="220" w:lineRule="atLeast"/>
              <w:jc w:val="center"/>
              <w:rPr>
                <w:color w:val="000000" w:themeColor="text1"/>
              </w:rPr>
            </w:pPr>
            <w:r>
              <w:rPr>
                <w:rFonts w:hint="eastAsia"/>
                <w:color w:val="000000" w:themeColor="text1"/>
              </w:rPr>
              <w:t>第一外国语</w:t>
            </w:r>
          </w:p>
        </w:tc>
        <w:tc>
          <w:tcPr>
            <w:tcW w:w="3333" w:type="dxa"/>
            <w:vAlign w:val="center"/>
          </w:tcPr>
          <w:p>
            <w:pPr>
              <w:spacing w:line="220" w:lineRule="atLeast"/>
              <w:jc w:val="center"/>
              <w:rPr>
                <w:color w:val="000000" w:themeColor="text1"/>
              </w:rPr>
            </w:pPr>
            <w:r>
              <w:rPr>
                <w:rFonts w:hint="eastAsia"/>
                <w:color w:val="000000" w:themeColor="text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教育技术学</w:t>
            </w:r>
          </w:p>
        </w:tc>
        <w:tc>
          <w:tcPr>
            <w:tcW w:w="2410"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教学系统设计</w:t>
            </w:r>
          </w:p>
        </w:tc>
        <w:tc>
          <w:tcPr>
            <w:tcW w:w="3333"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计算机教育基础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网络教育应用</w:t>
            </w:r>
          </w:p>
        </w:tc>
        <w:tc>
          <w:tcPr>
            <w:tcW w:w="2410"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远距离教育</w:t>
            </w:r>
          </w:p>
        </w:tc>
        <w:tc>
          <w:tcPr>
            <w:tcW w:w="3333"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教材设计与制作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shd w:val="clear" w:color="auto" w:fill="FFFFFF"/>
              </w:rPr>
            </w:pPr>
            <w:r>
              <w:rPr>
                <w:rFonts w:hint="eastAsia" w:asciiTheme="minorEastAsia" w:hAnsiTheme="minorEastAsia" w:eastAsiaTheme="minorEastAsia" w:cstheme="minorEastAsia"/>
                <w:color w:val="000000" w:themeColor="text1"/>
                <w:sz w:val="21"/>
                <w:szCs w:val="21"/>
              </w:rPr>
              <w:t>教育技术研究方法</w:t>
            </w:r>
          </w:p>
        </w:tc>
        <w:tc>
          <w:tcPr>
            <w:tcW w:w="2410"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shd w:val="clear" w:color="auto" w:fill="FFFFFF"/>
              </w:rPr>
            </w:pPr>
            <w:r>
              <w:rPr>
                <w:rFonts w:hint="eastAsia" w:asciiTheme="minorEastAsia" w:hAnsiTheme="minorEastAsia" w:eastAsiaTheme="minorEastAsia" w:cstheme="minorEastAsia"/>
                <w:color w:val="000000" w:themeColor="text1"/>
                <w:sz w:val="21"/>
                <w:szCs w:val="21"/>
              </w:rPr>
              <w:t>教育传播学</w:t>
            </w:r>
          </w:p>
        </w:tc>
        <w:tc>
          <w:tcPr>
            <w:tcW w:w="3333"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shd w:val="clear" w:color="auto" w:fill="FFFFFF"/>
              </w:rPr>
            </w:pPr>
            <w:r>
              <w:rPr>
                <w:rFonts w:hint="eastAsia" w:asciiTheme="minorEastAsia" w:hAnsiTheme="minorEastAsia" w:eastAsiaTheme="minorEastAsia" w:cstheme="minorEastAsia"/>
                <w:color w:val="000000" w:themeColor="text1"/>
                <w:sz w:val="21"/>
                <w:szCs w:val="21"/>
              </w:rPr>
              <w:t>C语言程序设计</w:t>
            </w:r>
          </w:p>
        </w:tc>
      </w:tr>
    </w:tbl>
    <w:p>
      <w:pPr>
        <w:pStyle w:val="5"/>
        <w:snapToGrid w:val="0"/>
        <w:spacing w:line="360" w:lineRule="auto"/>
        <w:ind w:firstLine="2520" w:firstLineChars="1200"/>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 xml:space="preserve"> 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3、具有专科学历或本科学历无学士学位者，具有两年以上工作经验，经申请也可报读，但不能申请硕士学位。</w:t>
      </w: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2、学费：18000元；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eastAsia="宋体"/>
          <w:b/>
          <w:bCs/>
          <w:color w:val="000000" w:themeColor="text1"/>
          <w:sz w:val="24"/>
        </w:rPr>
      </w:pPr>
    </w:p>
    <w:p>
      <w:pPr>
        <w:spacing w:line="360" w:lineRule="auto"/>
        <w:ind w:firstLine="480" w:firstLineChars="200"/>
        <w:rPr>
          <w:rFonts w:asciiTheme="minorEastAsia" w:hAnsiTheme="minorEastAsia" w:cstheme="minorEastAsia"/>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0F2339"/>
    <w:rsid w:val="00360B6D"/>
    <w:rsid w:val="0042763C"/>
    <w:rsid w:val="007C1ED6"/>
    <w:rsid w:val="00B6511C"/>
    <w:rsid w:val="00BE1271"/>
    <w:rsid w:val="00CE193A"/>
    <w:rsid w:val="05FE7AC9"/>
    <w:rsid w:val="07352E6D"/>
    <w:rsid w:val="130B01B1"/>
    <w:rsid w:val="284761EC"/>
    <w:rsid w:val="38373238"/>
    <w:rsid w:val="3A7D2394"/>
    <w:rsid w:val="462B4F19"/>
    <w:rsid w:val="467E54CB"/>
    <w:rsid w:val="47150AA3"/>
    <w:rsid w:val="4A726E33"/>
    <w:rsid w:val="5A261C50"/>
    <w:rsid w:val="5E78697C"/>
    <w:rsid w:val="63847656"/>
    <w:rsid w:val="68BB4662"/>
    <w:rsid w:val="796930ED"/>
    <w:rsid w:val="79BA3DFB"/>
    <w:rsid w:val="7D9D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2"/>
    <w:uiPriority w:val="0"/>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1528</Characters>
  <Lines>12</Lines>
  <Paragraphs>3</Paragraphs>
  <TotalTime>5</TotalTime>
  <ScaleCrop>false</ScaleCrop>
  <LinksUpToDate>false</LinksUpToDate>
  <CharactersWithSpaces>1793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2021-10-27T02:07:39Z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A352A869837F44839698B2D32702C446</vt:lpwstr>
  </property>
</Properties>
</file>