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312" w:lineRule="auto"/>
        <w:jc w:val="center"/>
        <w:rPr>
          <w:rFonts w:ascii="宋体" w:hAnsi="宋体"/>
          <w:b/>
          <w:color w:val="000000" w:themeColor="text1"/>
          <w:sz w:val="18"/>
          <w:szCs w:val="18"/>
          <w14:textFill>
            <w14:solidFill>
              <w14:schemeClr w14:val="tx1"/>
            </w14:solidFill>
          </w14:textFill>
        </w:rPr>
      </w:pPr>
      <w:r>
        <w:rPr>
          <w:rFonts w:ascii="宋体" w:hAnsi="宋体"/>
          <w:b/>
          <w:bCs/>
          <w:color w:val="000000" w:themeColor="text1"/>
          <w:spacing w:val="36"/>
          <w:sz w:val="60"/>
          <w14:textFill>
            <w14:solidFill>
              <w14:schemeClr w14:val="tx1"/>
            </w14:solidFill>
          </w14:textFill>
        </w:rPr>
        <w:drawing>
          <wp:inline distT="0" distB="0" distL="114300" distR="114300">
            <wp:extent cx="3588385" cy="806450"/>
            <wp:effectExtent l="0" t="0" r="12065" b="12700"/>
            <wp:docPr id="1" name="图片 1" descr="鲜红全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鲜红全标"/>
                    <pic:cNvPicPr>
                      <a:picLocks noChangeAspect="1"/>
                    </pic:cNvPicPr>
                  </pic:nvPicPr>
                  <pic:blipFill>
                    <a:blip r:embed="rId4"/>
                    <a:stretch>
                      <a:fillRect/>
                    </a:stretch>
                  </pic:blipFill>
                  <pic:spPr>
                    <a:xfrm>
                      <a:off x="0" y="0"/>
                      <a:ext cx="3588385" cy="806450"/>
                    </a:xfrm>
                    <a:prstGeom prst="rect">
                      <a:avLst/>
                    </a:prstGeom>
                    <a:solidFill>
                      <a:srgbClr val="CC0000"/>
                    </a:solidFill>
                    <a:ln>
                      <a:noFill/>
                    </a:ln>
                  </pic:spPr>
                </pic:pic>
              </a:graphicData>
            </a:graphic>
          </wp:inline>
        </w:drawing>
      </w:r>
    </w:p>
    <w:p>
      <w:pPr>
        <w:widowControl/>
        <w:spacing w:before="93" w:beforeLines="30"/>
        <w:jc w:val="center"/>
        <w:rPr>
          <w:rFonts w:ascii="黑体" w:hAnsi="黑体" w:eastAsia="黑体" w:cs="宋体"/>
          <w:b/>
          <w:color w:val="000000" w:themeColor="text1"/>
          <w:kern w:val="0"/>
          <w:sz w:val="36"/>
          <w:szCs w:val="36"/>
          <w14:textFill>
            <w14:solidFill>
              <w14:schemeClr w14:val="tx1"/>
            </w14:solidFill>
          </w14:textFill>
        </w:rPr>
      </w:pPr>
      <w:r>
        <w:rPr>
          <w:rFonts w:hint="eastAsia" w:ascii="黑体" w:hAnsi="黑体" w:eastAsia="黑体" w:cs="宋体"/>
          <w:b/>
          <w:color w:val="000000" w:themeColor="text1"/>
          <w:kern w:val="0"/>
          <w:sz w:val="48"/>
          <w:szCs w:val="48"/>
          <w14:textFill>
            <w14:solidFill>
              <w14:schemeClr w14:val="tx1"/>
            </w14:solidFill>
          </w14:textFill>
        </w:rPr>
        <w:t xml:space="preserve"> </w:t>
      </w:r>
      <w:r>
        <w:rPr>
          <w:rFonts w:hint="eastAsia" w:ascii="黑体" w:hAnsi="黑体" w:eastAsia="黑体" w:cs="宋体"/>
          <w:b/>
          <w:color w:val="000000" w:themeColor="text1"/>
          <w:kern w:val="0"/>
          <w:sz w:val="44"/>
          <w:szCs w:val="44"/>
          <w14:textFill>
            <w14:solidFill>
              <w14:schemeClr w14:val="tx1"/>
            </w14:solidFill>
          </w14:textFill>
        </w:rPr>
        <w:t>劳动经济学专业</w:t>
      </w:r>
      <w:bookmarkStart w:id="0" w:name="OLE_LINK5"/>
      <w:bookmarkStart w:id="1" w:name="OLE_LINK18"/>
      <w:r>
        <w:rPr>
          <w:rFonts w:hint="eastAsia" w:ascii="黑体" w:hAnsi="黑体" w:eastAsia="黑体" w:cs="宋体"/>
          <w:b/>
          <w:color w:val="000000" w:themeColor="text1"/>
          <w:kern w:val="0"/>
          <w:sz w:val="44"/>
          <w:szCs w:val="44"/>
          <w14:textFill>
            <w14:solidFill>
              <w14:schemeClr w14:val="tx1"/>
            </w14:solidFill>
          </w14:textFill>
        </w:rPr>
        <w:t>在职课程培训班</w:t>
      </w:r>
    </w:p>
    <w:p>
      <w:pPr>
        <w:widowControl/>
        <w:spacing w:before="93" w:beforeLines="30"/>
        <w:jc w:val="center"/>
        <w:rPr>
          <w:color w:val="000000" w:themeColor="text1"/>
          <w14:textFill>
            <w14:solidFill>
              <w14:schemeClr w14:val="tx1"/>
            </w14:solidFill>
          </w14:textFill>
        </w:rPr>
      </w:pPr>
      <w:r>
        <w:rPr>
          <w:rFonts w:hint="eastAsia" w:ascii="黑体" w:hAnsi="黑体" w:eastAsia="黑体" w:cs="宋体"/>
          <w:b/>
          <w:color w:val="000000" w:themeColor="text1"/>
          <w:kern w:val="0"/>
          <w:sz w:val="36"/>
          <w:szCs w:val="36"/>
          <w14:textFill>
            <w14:solidFill>
              <w14:schemeClr w14:val="tx1"/>
            </w14:solidFill>
          </w14:textFill>
        </w:rPr>
        <w:t>招 生 简 章</w:t>
      </w:r>
      <w:bookmarkEnd w:id="0"/>
      <w:bookmarkEnd w:id="1"/>
    </w:p>
    <w:p>
      <w:r>
        <w:rPr>
          <w:rFonts w:hint="eastAsia" w:ascii="宋体" w:hAnsi="宋体" w:eastAsia="宋体" w:cs="宋体"/>
          <w:b/>
          <w:bCs/>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166370</wp:posOffset>
                </wp:positionV>
                <wp:extent cx="6071870" cy="635"/>
                <wp:effectExtent l="0" t="0" r="0" b="0"/>
                <wp:wrapSquare wrapText="bothSides"/>
                <wp:docPr id="2" name="直接连接符 2"/>
                <wp:cNvGraphicFramePr/>
                <a:graphic xmlns:a="http://schemas.openxmlformats.org/drawingml/2006/main">
                  <a:graphicData uri="http://schemas.microsoft.com/office/word/2010/wordprocessingShape">
                    <wps:wsp>
                      <wps:cNvCnPr/>
                      <wps:spPr>
                        <a:xfrm>
                          <a:off x="0" y="0"/>
                          <a:ext cx="6071870" cy="63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7pt;margin-top:13.1pt;height:0.05pt;width:478.1pt;mso-wrap-distance-bottom:0pt;mso-wrap-distance-left:9pt;mso-wrap-distance-right:9pt;mso-wrap-distance-top:0pt;z-index:251658240;mso-width-relative:page;mso-height-relative:page;" filled="f" stroked="t" coordsize="21600,21600" o:gfxdata="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SaGC1wAAAAkBAAAPAAAAAAAAAAEAIAAAACIAAABkcnMvZG93&#10;bnJldi54bWxQSwECFAAUAAAACACHTuJA6KCpqQECAAAHBAAADgAAAAAAAAABACAAAAAmAQAAZHJz&#10;L2Uyb0RvYy54bWxQSwUGAAAAAAYABgBZAQAAmQUAAAAA&#10;">
                <v:fill on="f" focussize="0,0"/>
                <v:stroke weight="0.5pt" color="#000000 [3200]" miterlimit="8" joinstyle="miter"/>
                <v:imagedata o:title=""/>
                <o:lock v:ext="edit" aspectratio="f"/>
                <w10:wrap type="square"/>
              </v:line>
            </w:pict>
          </mc:Fallback>
        </mc:AlternateContent>
      </w:r>
    </w:p>
    <w:p>
      <w:pPr>
        <w:pStyle w:val="2"/>
        <w:widowControl/>
        <w:rPr>
          <w:rFonts w:hint="default"/>
          <w:sz w:val="24"/>
          <w:szCs w:val="24"/>
        </w:rPr>
      </w:pPr>
      <w:r>
        <w:rPr>
          <w:sz w:val="24"/>
          <w:szCs w:val="24"/>
        </w:rPr>
        <w:t>【学院及专业优势简介】</w:t>
      </w:r>
    </w:p>
    <w:p>
      <w:pPr>
        <w:pStyle w:val="5"/>
        <w:widowControl/>
        <w:ind w:firstLine="420"/>
        <w:jc w:val="both"/>
      </w:pPr>
      <w:r>
        <w:t>劳动人事学院成立于1983年，由中国人民大学与原国家劳动人事部联合创办；2000年隶属关系归为中国人民大学。现任院长为杨伟国教授。</w:t>
      </w:r>
    </w:p>
    <w:p>
      <w:pPr>
        <w:pStyle w:val="5"/>
        <w:widowControl/>
        <w:ind w:firstLine="420"/>
        <w:jc w:val="both"/>
      </w:pPr>
      <w:r>
        <w:t>在三十多年的发展历程中，劳动人事学院创造了若干个“第一”：</w:t>
      </w:r>
    </w:p>
    <w:p>
      <w:pPr>
        <w:pStyle w:val="5"/>
        <w:widowControl/>
        <w:ind w:firstLine="420"/>
        <w:jc w:val="both"/>
      </w:pPr>
      <w:r>
        <w:t>1993年在全国率先将人事管理专业改为人力资源管理专业。</w:t>
      </w:r>
    </w:p>
    <w:p>
      <w:pPr>
        <w:pStyle w:val="5"/>
        <w:widowControl/>
        <w:ind w:firstLine="420"/>
        <w:jc w:val="both"/>
      </w:pPr>
      <w:r>
        <w:t>1994年设立全国第一个劳动经济学博士点并首次招收博士生。</w:t>
      </w:r>
    </w:p>
    <w:p>
      <w:pPr>
        <w:pStyle w:val="5"/>
        <w:widowControl/>
        <w:ind w:firstLine="420"/>
        <w:jc w:val="both"/>
      </w:pPr>
      <w:r>
        <w:t>2003年人力资源管理专业成为全国惟一拥有学士、硕士、博士完整培养体系的学科。</w:t>
      </w:r>
    </w:p>
    <w:p>
      <w:pPr>
        <w:pStyle w:val="5"/>
        <w:widowControl/>
        <w:ind w:firstLine="420"/>
        <w:jc w:val="both"/>
      </w:pPr>
    </w:p>
    <w:p>
      <w:pPr>
        <w:pStyle w:val="2"/>
        <w:widowControl/>
        <w:rPr>
          <w:rFonts w:hint="default"/>
          <w:sz w:val="24"/>
          <w:szCs w:val="24"/>
        </w:rPr>
      </w:pPr>
      <w:r>
        <w:rPr>
          <w:sz w:val="24"/>
          <w:szCs w:val="24"/>
        </w:rPr>
        <w:t>【课程安排】</w:t>
      </w:r>
    </w:p>
    <w:p>
      <w:pPr>
        <w:rPr>
          <w:kern w:val="0"/>
          <w:sz w:val="24"/>
          <w:lang w:bidi="ar"/>
        </w:rPr>
      </w:pPr>
      <w:r>
        <w:rPr>
          <w:kern w:val="0"/>
          <w:sz w:val="24"/>
          <w:lang w:bidi="ar"/>
        </w:rPr>
        <w:t>为培养掌握系统的劳动经济基础理论和系统的人力资源专门知识，具有从事劳动经济及相关领域科学研究或者独立担负劳动经济领域专门工作能力的高层次专业人才</w:t>
      </w:r>
      <w:r>
        <w:rPr>
          <w:rFonts w:hint="eastAsia"/>
          <w:kern w:val="0"/>
          <w:sz w:val="24"/>
          <w:lang w:bidi="ar"/>
        </w:rPr>
        <w:t>；劳动经济学专业课程设置如下：</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trPr>
        <w:tc>
          <w:tcPr>
            <w:tcW w:w="2840" w:type="dxa"/>
            <w:vMerge w:val="restart"/>
            <w:vAlign w:val="center"/>
          </w:tcPr>
          <w:p>
            <w:pPr>
              <w:pStyle w:val="5"/>
              <w:widowControl/>
              <w:jc w:val="center"/>
            </w:pPr>
            <w:r>
              <w:rPr>
                <w:rFonts w:hint="eastAsia"/>
              </w:rPr>
              <w:t>公共课</w:t>
            </w:r>
          </w:p>
        </w:tc>
        <w:tc>
          <w:tcPr>
            <w:tcW w:w="2841" w:type="dxa"/>
            <w:vAlign w:val="center"/>
          </w:tcPr>
          <w:p>
            <w:pPr>
              <w:pStyle w:val="5"/>
              <w:widowControl/>
              <w:jc w:val="center"/>
            </w:pPr>
            <w:r>
              <w:t>中国特色社会主义理论与实践研究</w:t>
            </w:r>
          </w:p>
        </w:tc>
        <w:tc>
          <w:tcPr>
            <w:tcW w:w="2841" w:type="dxa"/>
            <w:vAlign w:val="center"/>
          </w:tcPr>
          <w:p>
            <w:pPr>
              <w:pStyle w:val="5"/>
              <w:widowControl/>
              <w:jc w:val="center"/>
            </w:pPr>
            <w:r>
              <w:t>马克思主义与社会科学方法论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0" w:type="dxa"/>
            <w:vMerge w:val="continue"/>
            <w:vAlign w:val="center"/>
          </w:tcPr>
          <w:p>
            <w:pPr>
              <w:pStyle w:val="5"/>
              <w:widowControl/>
              <w:jc w:val="center"/>
            </w:pPr>
          </w:p>
        </w:tc>
        <w:tc>
          <w:tcPr>
            <w:tcW w:w="2841" w:type="dxa"/>
            <w:vAlign w:val="center"/>
          </w:tcPr>
          <w:p>
            <w:pPr>
              <w:pStyle w:val="5"/>
              <w:widowControl/>
              <w:ind w:firstLine="420"/>
              <w:jc w:val="center"/>
            </w:pPr>
            <w:r>
              <w:t>语言基础</w:t>
            </w:r>
          </w:p>
        </w:tc>
        <w:tc>
          <w:tcPr>
            <w:tcW w:w="2841" w:type="dxa"/>
            <w:vAlign w:val="center"/>
          </w:tcPr>
          <w:p>
            <w:pPr>
              <w:pStyle w:val="5"/>
              <w:widowControl/>
              <w:jc w:val="center"/>
            </w:pPr>
            <w:r>
              <w:t>《资本论》选读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0" w:type="dxa"/>
            <w:vMerge w:val="restart"/>
            <w:vAlign w:val="center"/>
          </w:tcPr>
          <w:p>
            <w:pPr>
              <w:pStyle w:val="5"/>
              <w:widowControl/>
              <w:jc w:val="center"/>
            </w:pPr>
            <w:r>
              <w:rPr>
                <w:rFonts w:hint="eastAsia"/>
              </w:rPr>
              <w:t>专业课</w:t>
            </w:r>
          </w:p>
        </w:tc>
        <w:tc>
          <w:tcPr>
            <w:tcW w:w="2841" w:type="dxa"/>
            <w:vAlign w:val="center"/>
          </w:tcPr>
          <w:p>
            <w:pPr>
              <w:pStyle w:val="5"/>
              <w:widowControl/>
              <w:jc w:val="center"/>
            </w:pPr>
            <w:r>
              <w:t>中级微观与宏观经济学</w:t>
            </w:r>
          </w:p>
        </w:tc>
        <w:tc>
          <w:tcPr>
            <w:tcW w:w="2841" w:type="dxa"/>
            <w:vAlign w:val="center"/>
          </w:tcPr>
          <w:p>
            <w:pPr>
              <w:pStyle w:val="5"/>
              <w:widowControl/>
              <w:jc w:val="center"/>
            </w:pPr>
            <w:r>
              <w:t>劳动经济学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0" w:type="dxa"/>
            <w:vMerge w:val="continue"/>
            <w:vAlign w:val="center"/>
          </w:tcPr>
          <w:p>
            <w:pPr>
              <w:pStyle w:val="5"/>
              <w:widowControl/>
              <w:jc w:val="center"/>
            </w:pPr>
          </w:p>
        </w:tc>
        <w:tc>
          <w:tcPr>
            <w:tcW w:w="2841" w:type="dxa"/>
            <w:vAlign w:val="center"/>
          </w:tcPr>
          <w:p>
            <w:pPr>
              <w:pStyle w:val="5"/>
              <w:widowControl/>
              <w:jc w:val="center"/>
            </w:pPr>
            <w:r>
              <w:t>中国劳动经济问题研究</w:t>
            </w:r>
          </w:p>
        </w:tc>
        <w:tc>
          <w:tcPr>
            <w:tcW w:w="2841" w:type="dxa"/>
            <w:vAlign w:val="center"/>
          </w:tcPr>
          <w:p>
            <w:pPr>
              <w:pStyle w:val="5"/>
              <w:widowControl/>
              <w:jc w:val="center"/>
            </w:pPr>
            <w:r>
              <w:t>人力资源与劳动关系管理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0" w:type="dxa"/>
            <w:vMerge w:val="continue"/>
            <w:vAlign w:val="center"/>
          </w:tcPr>
          <w:p>
            <w:pPr>
              <w:pStyle w:val="5"/>
              <w:widowControl/>
              <w:jc w:val="center"/>
            </w:pPr>
          </w:p>
        </w:tc>
        <w:tc>
          <w:tcPr>
            <w:tcW w:w="2841" w:type="dxa"/>
            <w:vAlign w:val="center"/>
          </w:tcPr>
          <w:p>
            <w:pPr>
              <w:pStyle w:val="5"/>
              <w:widowControl/>
              <w:jc w:val="center"/>
            </w:pPr>
            <w:r>
              <w:t>中国社会保障研究</w:t>
            </w:r>
          </w:p>
        </w:tc>
        <w:tc>
          <w:tcPr>
            <w:tcW w:w="2841" w:type="dxa"/>
            <w:vAlign w:val="center"/>
          </w:tcPr>
          <w:p>
            <w:pPr>
              <w:pStyle w:val="5"/>
              <w:widowControl/>
              <w:jc w:val="center"/>
            </w:pPr>
            <w:r>
              <w:t>企业战略管理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0" w:type="dxa"/>
            <w:vMerge w:val="continue"/>
            <w:vAlign w:val="center"/>
          </w:tcPr>
          <w:p>
            <w:pPr>
              <w:pStyle w:val="5"/>
              <w:widowControl/>
              <w:jc w:val="center"/>
            </w:pPr>
          </w:p>
        </w:tc>
        <w:tc>
          <w:tcPr>
            <w:tcW w:w="2841" w:type="dxa"/>
            <w:vAlign w:val="center"/>
          </w:tcPr>
          <w:p>
            <w:pPr>
              <w:pStyle w:val="5"/>
              <w:widowControl/>
              <w:jc w:val="center"/>
            </w:pPr>
            <w:r>
              <w:t>管理学原理</w:t>
            </w:r>
          </w:p>
        </w:tc>
        <w:tc>
          <w:tcPr>
            <w:tcW w:w="2841" w:type="dxa"/>
            <w:vAlign w:val="center"/>
          </w:tcPr>
          <w:p>
            <w:pPr>
              <w:pStyle w:val="5"/>
              <w:widowControl/>
              <w:jc w:val="center"/>
            </w:pPr>
            <w:r>
              <w:t>人员素质测评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0" w:type="dxa"/>
            <w:vMerge w:val="continue"/>
            <w:vAlign w:val="center"/>
          </w:tcPr>
          <w:p>
            <w:pPr>
              <w:pStyle w:val="5"/>
              <w:widowControl/>
              <w:jc w:val="center"/>
            </w:pPr>
          </w:p>
        </w:tc>
        <w:tc>
          <w:tcPr>
            <w:tcW w:w="2841" w:type="dxa"/>
            <w:vAlign w:val="center"/>
          </w:tcPr>
          <w:p>
            <w:pPr>
              <w:pStyle w:val="5"/>
              <w:widowControl/>
              <w:jc w:val="center"/>
            </w:pPr>
            <w:r>
              <w:t>公共经济学</w:t>
            </w:r>
          </w:p>
        </w:tc>
        <w:tc>
          <w:tcPr>
            <w:tcW w:w="2841" w:type="dxa"/>
            <w:vAlign w:val="center"/>
          </w:tcPr>
          <w:p>
            <w:pPr>
              <w:pStyle w:val="5"/>
              <w:widowControl/>
              <w:jc w:val="center"/>
            </w:pPr>
            <w:r>
              <w:t>国际经济学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2840" w:type="dxa"/>
            <w:vMerge w:val="restart"/>
            <w:vAlign w:val="center"/>
          </w:tcPr>
          <w:p>
            <w:pPr>
              <w:pStyle w:val="5"/>
              <w:widowControl/>
              <w:jc w:val="center"/>
            </w:pPr>
            <w:r>
              <w:rPr>
                <w:rFonts w:hint="eastAsia"/>
              </w:rPr>
              <w:t>方法课</w:t>
            </w:r>
          </w:p>
        </w:tc>
        <w:tc>
          <w:tcPr>
            <w:tcW w:w="2841" w:type="dxa"/>
            <w:vAlign w:val="center"/>
          </w:tcPr>
          <w:p>
            <w:pPr>
              <w:pStyle w:val="5"/>
              <w:widowControl/>
              <w:jc w:val="center"/>
            </w:pPr>
            <w:r>
              <w:t>管理学研究中的数据分析方法</w:t>
            </w:r>
          </w:p>
        </w:tc>
        <w:tc>
          <w:tcPr>
            <w:tcW w:w="2841" w:type="dxa"/>
            <w:vAlign w:val="center"/>
          </w:tcPr>
          <w:p>
            <w:pPr>
              <w:pStyle w:val="5"/>
              <w:widowControl/>
              <w:jc w:val="center"/>
            </w:pPr>
            <w:r>
              <w:t>学术规范和论文写作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0" w:type="dxa"/>
            <w:vMerge w:val="continue"/>
            <w:vAlign w:val="center"/>
          </w:tcPr>
          <w:p>
            <w:pPr>
              <w:pStyle w:val="5"/>
              <w:widowControl/>
              <w:jc w:val="center"/>
            </w:pPr>
          </w:p>
        </w:tc>
        <w:tc>
          <w:tcPr>
            <w:tcW w:w="2841" w:type="dxa"/>
            <w:vAlign w:val="center"/>
          </w:tcPr>
          <w:p>
            <w:pPr>
              <w:pStyle w:val="5"/>
              <w:widowControl/>
              <w:jc w:val="center"/>
            </w:pPr>
            <w:r>
              <w:t>统计分析</w:t>
            </w:r>
          </w:p>
        </w:tc>
        <w:tc>
          <w:tcPr>
            <w:tcW w:w="2841" w:type="dxa"/>
            <w:vAlign w:val="center"/>
          </w:tcPr>
          <w:p>
            <w:pPr>
              <w:pStyle w:val="5"/>
              <w:widowControl/>
              <w:jc w:val="center"/>
            </w:pPr>
          </w:p>
        </w:tc>
      </w:tr>
    </w:tbl>
    <w:p>
      <w:pPr>
        <w:pStyle w:val="5"/>
        <w:widowControl/>
        <w:jc w:val="both"/>
      </w:pPr>
    </w:p>
    <w:p>
      <w:pPr>
        <w:pStyle w:val="2"/>
        <w:widowControl/>
        <w:rPr>
          <w:rFonts w:hint="default"/>
          <w:sz w:val="24"/>
          <w:szCs w:val="24"/>
        </w:rPr>
      </w:pPr>
      <w:r>
        <w:rPr>
          <w:sz w:val="24"/>
          <w:szCs w:val="24"/>
        </w:rPr>
        <w:t>【教学办法】</w:t>
      </w:r>
    </w:p>
    <w:p>
      <w:pPr>
        <w:pStyle w:val="5"/>
        <w:widowControl/>
        <w:ind w:firstLine="420"/>
      </w:pPr>
      <w:r>
        <w:t>面授（线上）与自学相结合，每月选择1-2个周末上课，周六日连续（具体以学院排课为准）。</w:t>
      </w:r>
    </w:p>
    <w:p>
      <w:pPr>
        <w:pStyle w:val="2"/>
        <w:widowControl/>
        <w:rPr>
          <w:rFonts w:hint="default"/>
          <w:sz w:val="24"/>
          <w:szCs w:val="24"/>
        </w:rPr>
      </w:pPr>
      <w:r>
        <w:rPr>
          <w:sz w:val="24"/>
          <w:szCs w:val="24"/>
        </w:rPr>
        <w:t>【学习期限】</w:t>
      </w:r>
    </w:p>
    <w:p>
      <w:pPr>
        <w:pStyle w:val="5"/>
        <w:widowControl/>
        <w:ind w:firstLine="420"/>
      </w:pPr>
      <w:r>
        <w:t>学校期限1.5年。</w:t>
      </w:r>
    </w:p>
    <w:p>
      <w:pPr>
        <w:pStyle w:val="2"/>
        <w:widowControl/>
        <w:rPr>
          <w:rFonts w:hint="default"/>
          <w:sz w:val="24"/>
          <w:szCs w:val="24"/>
        </w:rPr>
      </w:pPr>
      <w:r>
        <w:rPr>
          <w:sz w:val="24"/>
          <w:szCs w:val="24"/>
        </w:rPr>
        <w:t>【报名条件】</w:t>
      </w:r>
    </w:p>
    <w:p>
      <w:pPr>
        <w:pStyle w:val="5"/>
        <w:widowControl/>
        <w:ind w:firstLine="420"/>
      </w:pPr>
      <w:r>
        <w:t>国民教育序列大学本科毕业，并获得学士学位满二年；条件优秀者，可放宽至大专学历。</w:t>
      </w:r>
    </w:p>
    <w:p>
      <w:pPr>
        <w:pStyle w:val="2"/>
        <w:widowControl/>
        <w:rPr>
          <w:rFonts w:hint="default"/>
          <w:sz w:val="24"/>
          <w:szCs w:val="24"/>
        </w:rPr>
      </w:pPr>
      <w:r>
        <w:rPr>
          <w:sz w:val="24"/>
          <w:szCs w:val="24"/>
        </w:rPr>
        <w:t>【报名手续及联系方式】</w:t>
      </w:r>
    </w:p>
    <w:p>
      <w:pPr>
        <w:pStyle w:val="5"/>
        <w:widowControl/>
        <w:ind w:firstLine="420"/>
      </w:pPr>
      <w:r>
        <w:t>下载报名表填写，联系招生老师提交报名表，本人身份证、学历证书、学位证书扫描件各一份，两寸白底证件照电子版一份。</w:t>
      </w:r>
    </w:p>
    <w:p>
      <w:pPr>
        <w:pStyle w:val="5"/>
        <w:widowControl/>
        <w:ind w:firstLine="420"/>
        <w:rPr>
          <w:b/>
          <w:bCs/>
        </w:rPr>
      </w:pPr>
      <w:r>
        <w:rPr>
          <w:b/>
          <w:bCs/>
        </w:rPr>
        <w:t>重要知会：</w:t>
      </w:r>
    </w:p>
    <w:p>
      <w:pPr>
        <w:pStyle w:val="5"/>
        <w:widowControl/>
        <w:ind w:firstLine="420"/>
      </w:pPr>
      <w:r>
        <w:t>交付学校审核的学历学位材料、身份证必须真实有效，若因证书不真实造成的后果，责任自负。</w:t>
      </w:r>
    </w:p>
    <w:p>
      <w:pPr>
        <w:pStyle w:val="2"/>
        <w:widowControl/>
        <w:rPr>
          <w:rFonts w:hint="default"/>
          <w:sz w:val="24"/>
          <w:szCs w:val="24"/>
        </w:rPr>
      </w:pPr>
      <w:r>
        <w:rPr>
          <w:sz w:val="24"/>
          <w:szCs w:val="24"/>
        </w:rPr>
        <w:t>【收费标准】</w:t>
      </w:r>
    </w:p>
    <w:p>
      <w:pPr>
        <w:pStyle w:val="2"/>
        <w:rPr>
          <w:rFonts w:hint="default" w:asciiTheme="minorHAnsi" w:hAnsiTheme="minorHAnsi" w:eastAsiaTheme="minorEastAsia"/>
          <w:b w:val="0"/>
          <w:sz w:val="24"/>
          <w:szCs w:val="24"/>
        </w:rPr>
      </w:pPr>
      <w:r>
        <w:rPr>
          <w:sz w:val="24"/>
          <w:szCs w:val="24"/>
        </w:rPr>
        <w:t> </w:t>
      </w:r>
      <w:r>
        <w:rPr>
          <w:rFonts w:asciiTheme="minorHAnsi" w:hAnsiTheme="minorHAnsi" w:eastAsiaTheme="minorEastAsia"/>
          <w:b w:val="0"/>
          <w:sz w:val="24"/>
          <w:szCs w:val="24"/>
        </w:rPr>
        <w:t>本课程培训费</w:t>
      </w:r>
      <w:r>
        <w:rPr>
          <w:rFonts w:hint="default" w:asciiTheme="minorHAnsi" w:hAnsiTheme="minorHAnsi" w:eastAsiaTheme="minorEastAsia"/>
          <w:b w:val="0"/>
          <w:sz w:val="24"/>
          <w:szCs w:val="24"/>
        </w:rPr>
        <w:t>42</w:t>
      </w:r>
      <w:r>
        <w:rPr>
          <w:rFonts w:asciiTheme="minorHAnsi" w:hAnsiTheme="minorHAnsi" w:eastAsiaTheme="minorEastAsia"/>
          <w:b w:val="0"/>
          <w:sz w:val="24"/>
          <w:szCs w:val="24"/>
        </w:rPr>
        <w:t>000元，费用一次性交清。该费用不含教材资料、考试相关等费用、学校不提供任何考试辅导培训。因为异地班级名额限制，缴费后，由于学员单方面原因不能参加学习，视作放弃学习，恕不退费用，无法转换专业。</w:t>
      </w:r>
    </w:p>
    <w:p>
      <w:pPr>
        <w:pStyle w:val="2"/>
        <w:widowControl/>
        <w:rPr>
          <w:rFonts w:hint="default"/>
          <w:sz w:val="24"/>
          <w:szCs w:val="24"/>
        </w:rPr>
      </w:pPr>
    </w:p>
    <w:p>
      <w:pPr>
        <w:pStyle w:val="2"/>
        <w:widowControl/>
        <w:rPr>
          <w:rFonts w:hint="default"/>
          <w:sz w:val="24"/>
          <w:szCs w:val="24"/>
        </w:rPr>
      </w:pPr>
      <w:r>
        <w:rPr>
          <w:sz w:val="24"/>
          <w:szCs w:val="24"/>
        </w:rPr>
        <w:t>【缴费方式】</w:t>
      </w:r>
    </w:p>
    <w:p>
      <w:pPr>
        <w:pStyle w:val="5"/>
        <w:widowControl/>
        <w:ind w:firstLine="420"/>
      </w:pPr>
      <w:r>
        <w:t xml:space="preserve">（一）个人账户缴费：点击“人大培训网”发布简章的缴费链接，通过学校电子收费系统缴费。 </w:t>
      </w:r>
    </w:p>
    <w:p>
      <w:pPr>
        <w:pStyle w:val="5"/>
        <w:widowControl/>
        <w:ind w:firstLine="420"/>
      </w:pPr>
      <w:r>
        <w:t>学员通过点击简章页面发布的“报名缴费”按钮，可直接打开“中国人民大学通用收费系统”中该课程班的对应收费页面，注册并填报个人身份信息和票据信息后，通过系统缴费。</w:t>
      </w:r>
    </w:p>
    <w:p>
      <w:pPr>
        <w:pStyle w:val="5"/>
        <w:widowControl/>
        <w:ind w:firstLine="420"/>
      </w:pPr>
      <w:r>
        <w:t xml:space="preserve">（二）单位账户缴费：通过单位银行账户办理银行汇款缴费。 </w:t>
      </w:r>
    </w:p>
    <w:p>
      <w:pPr>
        <w:pStyle w:val="5"/>
        <w:widowControl/>
      </w:pPr>
      <w:r>
        <w:t>户　名：中国人民大学</w:t>
      </w:r>
      <w:r>
        <w:br w:type="textWrapping"/>
      </w:r>
      <w:r>
        <w:t>开户行：中国工商银行北京紫竹院支行</w:t>
      </w:r>
      <w:r>
        <w:br w:type="textWrapping"/>
      </w:r>
      <w:r>
        <w:t>帐　号：0200 0076 0902 6400 244</w:t>
      </w:r>
    </w:p>
    <w:p>
      <w:pPr>
        <w:pStyle w:val="5"/>
        <w:widowControl/>
        <w:ind w:firstLine="420"/>
      </w:pPr>
      <w:r>
        <w:t xml:space="preserve">特别说明：汇款时“收款人（单位）”一栏均只填“中国人民大学”六字，在“用途/摘要”栏里填上“劳动人事学院2021年中国人民大学劳动人事学院劳动经济学专业在职课程培训班（苏州秋季班沃顿辅助 ）课程XXX(学员姓名)培训费”。汇款后请将银行汇款凭单提交至劳动人事学院有关负责老师处确认。 </w:t>
      </w:r>
    </w:p>
    <w:p>
      <w:pPr>
        <w:pStyle w:val="2"/>
        <w:widowControl/>
        <w:rPr>
          <w:rFonts w:hint="default"/>
          <w:sz w:val="24"/>
          <w:szCs w:val="24"/>
        </w:rPr>
      </w:pPr>
      <w:r>
        <w:rPr>
          <w:sz w:val="24"/>
          <w:szCs w:val="24"/>
        </w:rPr>
        <w:t>【证书】</w:t>
      </w:r>
    </w:p>
    <w:p>
      <w:pPr>
        <w:pStyle w:val="5"/>
        <w:widowControl/>
        <w:ind w:firstLine="420"/>
      </w:pPr>
      <w:r>
        <w:t>完成规定的课程学习并考评合格者，由中国人民大学继续教育处审核颁发中国人民大学结业证书。</w:t>
      </w:r>
    </w:p>
    <w:p>
      <w:pPr>
        <w:jc w:val="center"/>
        <w:rPr>
          <w:rFonts w:hint="eastAsia"/>
          <w:sz w:val="36"/>
          <w:szCs w:val="36"/>
        </w:rPr>
      </w:pPr>
      <w:r>
        <w:rPr>
          <w:rFonts w:hint="eastAsia"/>
          <w:sz w:val="36"/>
          <w:szCs w:val="36"/>
        </w:rPr>
        <w:t>招生报名表</w:t>
      </w:r>
    </w:p>
    <w:p>
      <w:pPr>
        <w:jc w:val="left"/>
        <w:rPr>
          <w:rFonts w:hint="eastAsia"/>
          <w:szCs w:val="21"/>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17" w:type="dxa"/>
            <w:noWrap w:val="0"/>
            <w:vAlign w:val="top"/>
          </w:tcPr>
          <w:p>
            <w:pPr>
              <w:jc w:val="left"/>
              <w:rPr>
                <w:rFonts w:hint="eastAsia"/>
                <w:szCs w:val="21"/>
              </w:rPr>
            </w:pPr>
            <w:r>
              <w:rPr>
                <w:rFonts w:hint="eastAsia"/>
                <w:szCs w:val="21"/>
              </w:rPr>
              <w:t>课程全名</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szCs w:val="21"/>
              </w:rPr>
            </w:pPr>
            <w:r>
              <w:rPr>
                <w:rFonts w:hint="eastAsia"/>
                <w:szCs w:val="21"/>
              </w:rPr>
              <w:t xml:space="preserve">  </w:t>
            </w: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29845</wp:posOffset>
                      </wp:positionV>
                      <wp:extent cx="124460" cy="123825"/>
                      <wp:effectExtent l="4445" t="5080" r="23495" b="4445"/>
                      <wp:wrapNone/>
                      <wp:docPr id="5" name="矩形 5"/>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60288;mso-width-relative:page;mso-height-relative:page;"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vaeo0wAAAAUBAAAPAAAAAAAAAAEAIAAAACIAAABkcnMvZG93bnJldi54bWxQ&#10;SwECFAAUAAAACACHTuJAVU7elPwBAAAdBAAADgAAAAAAAAABACAAAAAiAQAAZHJzL2Uyb0RvYy54&#10;bWxQSwUGAAAAAAYABgBZAQAAkAUAAAAA&#10;">
                      <v:path/>
                      <v:fill focussize="0,0"/>
                      <v:stroke/>
                      <v:imagedata o:title=""/>
                      <o:lock v:ext="edit" grouping="f" rotation="f" text="f" aspectratio="f"/>
                    </v:rect>
                  </w:pict>
                </mc:Fallback>
              </mc:AlternateContent>
            </w: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29845</wp:posOffset>
                      </wp:positionV>
                      <wp:extent cx="123825" cy="123825"/>
                      <wp:effectExtent l="5080" t="5080" r="4445" b="4445"/>
                      <wp:wrapNone/>
                      <wp:docPr id="3" name="矩形 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9264;mso-width-relative:page;mso-height-relative:page;"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vKXD1gAAAAgBAAAPAAAAAAAAAAEAIAAAACIAAABkcnMvZG93bnJldi54bWxQSwEC&#10;FAAUAAAACACHTuJAxchMLPYBAAAdBAAADgAAAAAAAAABACAAAAAlAQAAZHJzL2Uyb0RvYy54bWxQ&#10;SwUGAAAAAAYABgBZAQAAjQUAAAAA&#10;">
                      <v:path/>
                      <v:fill focussize="0,0"/>
                      <v:stroke/>
                      <v:imagedata o:title=""/>
                      <o:lock v:ext="edit" grouping="f" rotation="f" text="f" aspectratio="f"/>
                    </v:rect>
                  </w:pict>
                </mc:Fallback>
              </mc:AlternateContent>
            </w:r>
            <w:bookmarkStart w:id="2" w:name="_GoBack"/>
            <w:r>
              <w:rPr>
                <w:rFonts w:hint="eastAsia"/>
                <w:szCs w:val="21"/>
              </w:rPr>
              <mc:AlternateContent>
                <mc:Choice Requires="wps">
                  <w:drawing>
                    <wp:anchor distT="0" distB="0" distL="114300" distR="114300" simplePos="0" relativeHeight="251661312" behindDoc="0" locked="0" layoutInCell="1" allowOverlap="1">
                      <wp:simplePos x="0" y="0"/>
                      <wp:positionH relativeFrom="column">
                        <wp:posOffset>1503680</wp:posOffset>
                      </wp:positionH>
                      <wp:positionV relativeFrom="paragraph">
                        <wp:posOffset>29845</wp:posOffset>
                      </wp:positionV>
                      <wp:extent cx="105410" cy="123825"/>
                      <wp:effectExtent l="4445" t="5080" r="23495" b="4445"/>
                      <wp:wrapNone/>
                      <wp:docPr id="4" name="矩形 4"/>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1312;mso-width-relative:page;mso-height-relative:page;"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jtdH9cAAAAIAQAADwAAAAAAAAABACAAAAAiAAAAZHJzL2Rvd25yZXYueG1s&#10;UEsBAhQAFAAAAAgAh07iQLd4qBH5AQAAHQQAAA4AAAAAAAAAAQAgAAAAJgEAAGRycy9lMm9Eb2Mu&#10;eG1sUEsFBgAAAAAGAAYAWQEAAJEFAAAAAA==&#10;">
                      <v:path/>
                      <v:fill focussize="0,0"/>
                      <v:stroke/>
                      <v:imagedata o:title=""/>
                      <o:lock v:ext="edit" grouping="f" rotation="f" text="f" aspectratio="f"/>
                    </v:rect>
                  </w:pict>
                </mc:Fallback>
              </mc:AlternateContent>
            </w:r>
            <w:bookmarkEnd w:id="2"/>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通信地址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bl>
    <w:p>
      <w:pPr>
        <w:jc w:val="left"/>
        <w:rPr>
          <w:rFonts w:hint="eastAsia"/>
          <w:szCs w:val="21"/>
        </w:rPr>
      </w:pPr>
    </w:p>
    <w:p>
      <w:pPr>
        <w:jc w:val="left"/>
        <w:rPr>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80"/>
    <w:rsid w:val="00164A8E"/>
    <w:rsid w:val="00303C89"/>
    <w:rsid w:val="00875A80"/>
    <w:rsid w:val="00E43A30"/>
    <w:rsid w:val="00F75C9E"/>
    <w:rsid w:val="424B673D"/>
    <w:rsid w:val="42BA3414"/>
    <w:rsid w:val="49D0674A"/>
    <w:rsid w:val="4EA756FB"/>
    <w:rsid w:val="50264AAA"/>
    <w:rsid w:val="58F63033"/>
    <w:rsid w:val="60730CCD"/>
    <w:rsid w:val="65C1499C"/>
    <w:rsid w:val="756F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kern w:val="0"/>
      <w:sz w:val="15"/>
      <w:szCs w:val="15"/>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221</Words>
  <Characters>1264</Characters>
  <Lines>10</Lines>
  <Paragraphs>2</Paragraphs>
  <TotalTime>0</TotalTime>
  <ScaleCrop>false</ScaleCrop>
  <LinksUpToDate>false</LinksUpToDate>
  <CharactersWithSpaces>1483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郭朋云</cp:lastModifiedBy>
  <dcterms:modified xsi:type="dcterms:W3CDTF">2021-02-02T01:44:22Z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