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876675" cy="137096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873517" cy="1370127"/>
                    </a:xfrm>
                    <a:prstGeom prst="rect">
                      <a:avLst/>
                    </a:prstGeom>
                  </pic:spPr>
                </pic:pic>
              </a:graphicData>
            </a:graphic>
          </wp:inline>
        </w:drawing>
      </w: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hint="eastAsia" w:eastAsia="宋体"/>
          <w:b/>
          <w:bCs/>
          <w:color w:val="000000" w:themeColor="text1"/>
          <w:sz w:val="36"/>
          <w:szCs w:val="36"/>
        </w:rPr>
      </w:pPr>
      <w:r>
        <w:rPr>
          <w:rFonts w:hint="eastAsia" w:eastAsia="宋体"/>
          <w:b/>
          <w:bCs/>
          <w:color w:val="000000" w:themeColor="text1"/>
          <w:sz w:val="36"/>
          <w:szCs w:val="36"/>
        </w:rPr>
        <w:t>课程与教学论--英语专业招生简章</w:t>
      </w:r>
    </w:p>
    <w:p>
      <w:pPr>
        <w:jc w:val="center"/>
        <w:rPr>
          <w:rFonts w:eastAsia="宋体"/>
          <w:b/>
          <w:bCs/>
          <w:color w:val="000000" w:themeColor="text1"/>
          <w:sz w:val="36"/>
          <w:szCs w:val="36"/>
        </w:rPr>
      </w:pP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课程与教学论是教育学专业硕士研究生开设的一门专业课程，包含有课程论、教学论、学科教学论等，课程与教学是学校教育的基本工作，是教师在每日工作中需要解决实际的课程与教学问题，目前本校开设了课程与教学论英语专业同等学力申硕学习班，为广大在职社会需要晋升人士提供提升学历的学习机会。</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eastAsia="宋体"/>
          <w:color w:val="000000" w:themeColor="text1"/>
          <w:sz w:val="24"/>
        </w:rPr>
      </w:pPr>
      <w:r>
        <w:rPr>
          <w:rFonts w:hint="eastAsia" w:eastAsia="宋体"/>
          <w:color w:val="000000" w:themeColor="text1"/>
          <w:sz w:val="24"/>
        </w:rPr>
        <w:t>本专业主要通过学习和掌握扎实的英语语言基础和较强的英语实践能力，培养具有良好的人文素质涵养和道德品质，具有勇于献身科学教育事业精神并且在语言学与应用语言学科方面掌握坚实理论基础和系统专门知识的，能从事英语语言教学研究和实际工作，在中小学以及大学等高等院校从事教育工作者的服务社会主义现代化建设的教育人才。</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7"/>
        <w:gridCol w:w="2268"/>
        <w:gridCol w:w="3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00" w:type="dxa"/>
            <w:gridSpan w:val="3"/>
            <w:vAlign w:val="center"/>
          </w:tcPr>
          <w:p>
            <w:pPr>
              <w:pStyle w:val="5"/>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课程与教学论英语专业课程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教育学原理</w:t>
            </w:r>
          </w:p>
        </w:tc>
        <w:tc>
          <w:tcPr>
            <w:tcW w:w="226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第二国外语</w:t>
            </w:r>
          </w:p>
        </w:tc>
        <w:tc>
          <w:tcPr>
            <w:tcW w:w="3475"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教学论研究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应用语言学</w:t>
            </w:r>
          </w:p>
        </w:tc>
        <w:tc>
          <w:tcPr>
            <w:tcW w:w="226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英语教学论</w:t>
            </w:r>
          </w:p>
        </w:tc>
        <w:tc>
          <w:tcPr>
            <w:tcW w:w="3475"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语言研究方法论</w:t>
            </w:r>
          </w:p>
        </w:tc>
        <w:tc>
          <w:tcPr>
            <w:tcW w:w="226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英语教育史</w:t>
            </w:r>
          </w:p>
        </w:tc>
        <w:tc>
          <w:tcPr>
            <w:tcW w:w="3475" w:type="dxa"/>
            <w:vAlign w:val="center"/>
          </w:tcPr>
          <w:p>
            <w:pPr>
              <w:spacing w:line="220" w:lineRule="atLeast"/>
              <w:jc w:val="center"/>
              <w:rPr>
                <w:color w:val="000000" w:themeColor="text1"/>
              </w:rPr>
            </w:pPr>
            <w:r>
              <w:rPr>
                <w:rFonts w:hint="eastAsia"/>
                <w:color w:val="000000" w:themeColor="text1"/>
              </w:rPr>
              <w:t>当代教学理论与实践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57"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网络技术与应用</w:t>
            </w:r>
          </w:p>
        </w:tc>
        <w:tc>
          <w:tcPr>
            <w:tcW w:w="2268" w:type="dxa"/>
            <w:vAlign w:val="center"/>
          </w:tcPr>
          <w:p>
            <w:pPr>
              <w:pStyle w:val="5"/>
              <w:snapToGrid w:val="0"/>
              <w:spacing w:line="360" w:lineRule="auto"/>
              <w:contextualSpacing/>
              <w:jc w:val="center"/>
              <w:rPr>
                <w:bCs/>
                <w:color w:val="000000" w:themeColor="text1"/>
                <w:sz w:val="21"/>
                <w:szCs w:val="21"/>
              </w:rPr>
            </w:pPr>
            <w:r>
              <w:rPr>
                <w:rFonts w:hint="eastAsia"/>
                <w:bCs/>
                <w:color w:val="000000" w:themeColor="text1"/>
                <w:sz w:val="21"/>
                <w:szCs w:val="21"/>
              </w:rPr>
              <w:t>语言教学课程设计</w:t>
            </w:r>
          </w:p>
        </w:tc>
        <w:tc>
          <w:tcPr>
            <w:tcW w:w="3475" w:type="dxa"/>
            <w:vAlign w:val="center"/>
          </w:tcPr>
          <w:p>
            <w:pPr>
              <w:jc w:val="center"/>
              <w:rPr>
                <w:color w:val="000000" w:themeColor="text1"/>
              </w:rPr>
            </w:pPr>
            <w:r>
              <w:rPr>
                <w:color w:val="000000" w:themeColor="text1"/>
              </w:rPr>
              <w:t>中国特色社会主义理论与实践</w:t>
            </w:r>
          </w:p>
        </w:tc>
      </w:tr>
    </w:tbl>
    <w:p>
      <w:pPr>
        <w:pStyle w:val="5"/>
        <w:snapToGrid w:val="0"/>
        <w:spacing w:line="360" w:lineRule="auto"/>
        <w:ind w:firstLine="2520" w:firstLineChars="1200"/>
        <w:contextualSpacing/>
        <w:rPr>
          <w:b/>
          <w:bCs/>
          <w:color w:val="000000" w:themeColor="text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3、具有专科学历或本科学历无学士学位者，具有两年以上工作经验，经申请也可报读，但不能申请硕士学位。 </w:t>
      </w: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w:t>
      </w:r>
      <w:bookmarkStart w:id="0" w:name="_GoBack"/>
      <w:r>
        <w:rPr>
          <w:rFonts w:hint="eastAsia"/>
          <w:color w:val="000000" w:themeColor="text1"/>
          <w:sz w:val="24"/>
        </w:rPr>
        <w:t>18000</w:t>
      </w:r>
      <w:bookmarkEnd w:id="0"/>
      <w:r>
        <w:rPr>
          <w:rFonts w:hint="eastAsia"/>
          <w:color w:val="000000" w:themeColor="text1"/>
          <w:sz w:val="24"/>
        </w:rPr>
        <w:t>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pStyle w:val="5"/>
        <w:snapToGrid w:val="0"/>
        <w:spacing w:line="360" w:lineRule="auto"/>
        <w:ind w:firstLine="3120" w:firstLineChars="1300"/>
        <w:contextualSpacing/>
        <w:rPr>
          <w:color w:val="000000" w:themeColor="text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397369"/>
    <w:rsid w:val="00497690"/>
    <w:rsid w:val="00602A23"/>
    <w:rsid w:val="00613DE2"/>
    <w:rsid w:val="00663ABC"/>
    <w:rsid w:val="007B3BAA"/>
    <w:rsid w:val="05E459B0"/>
    <w:rsid w:val="05FE7AC9"/>
    <w:rsid w:val="07352E6D"/>
    <w:rsid w:val="09A653FE"/>
    <w:rsid w:val="10191206"/>
    <w:rsid w:val="130B01B1"/>
    <w:rsid w:val="16F829FB"/>
    <w:rsid w:val="19671257"/>
    <w:rsid w:val="38373238"/>
    <w:rsid w:val="39B91BA0"/>
    <w:rsid w:val="3A7D2394"/>
    <w:rsid w:val="40272A16"/>
    <w:rsid w:val="4127154A"/>
    <w:rsid w:val="462B4F19"/>
    <w:rsid w:val="467E54CB"/>
    <w:rsid w:val="47150AA3"/>
    <w:rsid w:val="4A726E33"/>
    <w:rsid w:val="4C343760"/>
    <w:rsid w:val="506D1CBE"/>
    <w:rsid w:val="50E70A65"/>
    <w:rsid w:val="5CD02917"/>
    <w:rsid w:val="5E78697C"/>
    <w:rsid w:val="68BB4662"/>
    <w:rsid w:val="796930ED"/>
    <w:rsid w:val="79BA3DFB"/>
    <w:rsid w:val="7D9D0D4D"/>
    <w:rsid w:val="7EAC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270</Words>
  <Characters>1542</Characters>
  <Lines>12</Lines>
  <Paragraphs>3</Paragraphs>
  <TotalTime>65</TotalTime>
  <ScaleCrop>false</ScaleCrop>
  <LinksUpToDate>false</LinksUpToDate>
  <CharactersWithSpaces>1809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2021-11-03T07:30:47Z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BF04F74FA2D8412D8897681EFF3810A0</vt:lpwstr>
  </property>
</Properties>
</file>