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48" w:rsidRDefault="005F5AC3">
      <w:pPr>
        <w:jc w:val="center"/>
        <w:rPr>
          <w:rFonts w:ascii="楷体" w:eastAsia="楷体" w:hAnsi="楷体" w:cs="楷体"/>
          <w:b/>
          <w:sz w:val="44"/>
          <w:szCs w:val="44"/>
        </w:rPr>
      </w:pPr>
      <w:r>
        <w:rPr>
          <w:noProof/>
          <w:sz w:val="44"/>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154305</wp:posOffset>
                </wp:positionV>
                <wp:extent cx="5410200" cy="9525"/>
                <wp:effectExtent l="33655" t="29845" r="42545" b="93980"/>
                <wp:wrapNone/>
                <wp:docPr id="2" name="直接连接符 2"/>
                <wp:cNvGraphicFramePr/>
                <a:graphic xmlns:a="http://schemas.openxmlformats.org/drawingml/2006/main">
                  <a:graphicData uri="http://schemas.microsoft.com/office/word/2010/wordprocessingShape">
                    <wps:wsp>
                      <wps:cNvCnPr/>
                      <wps:spPr>
                        <a:xfrm>
                          <a:off x="1054100" y="1155065"/>
                          <a:ext cx="5410200" cy="952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pt;margin-top:12.15pt;height:0.75pt;width:426pt;z-index:251658240;mso-width-relative:page;mso-height-relative:page;" filled="f" stroked="t" coordsize="21600,21600" o:gfxdata="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1HdLE1wAAAAkBAAAPAAAA&#10;AAAAAAEAIAAAACIAAABkcnMvZG93bnJldi54bWxQSwECFAAUAAAACACHTuJAQjHqpBYCAAAIBAAA&#10;DgAAAAAAAAABACAAAAAmAQAAZHJzL2Uyb0RvYy54bWxQSwUGAAAAAAYABgBZAQAArgUAAAAA&#10;">
                <v:fill on="f" focussize="0,0"/>
                <v:stroke weight="3pt" color="#C00000 [3200]" joinstyle="round"/>
                <v:imagedata o:title=""/>
                <o:lock v:ext="edit" aspectratio="f"/>
                <v:shadow on="t" color="#000000" opacity="22937f" offset="0pt,1.81102362204724pt" origin="0f,32768f" matrix="65536f,0f,0f,65536f"/>
              </v:line>
            </w:pict>
          </mc:Fallback>
        </mc:AlternateContent>
      </w:r>
    </w:p>
    <w:p w:rsidR="00A60648" w:rsidRDefault="00937D7A">
      <w:pPr>
        <w:jc w:val="center"/>
        <w:rPr>
          <w:rFonts w:ascii="楷体" w:eastAsia="楷体" w:hAnsi="楷体" w:cs="楷体"/>
          <w:b/>
          <w:sz w:val="48"/>
          <w:szCs w:val="48"/>
        </w:rPr>
      </w:pPr>
      <w:r>
        <w:rPr>
          <w:rFonts w:ascii="楷体" w:eastAsia="楷体" w:hAnsi="楷体" w:cs="楷体" w:hint="eastAsia"/>
          <w:b/>
          <w:sz w:val="48"/>
          <w:szCs w:val="48"/>
        </w:rPr>
        <w:t>中国人民大学</w:t>
      </w:r>
      <w:r w:rsidR="005F5AC3">
        <w:rPr>
          <w:rFonts w:ascii="楷体" w:eastAsia="楷体" w:hAnsi="楷体" w:cs="楷体" w:hint="eastAsia"/>
          <w:b/>
          <w:sz w:val="48"/>
          <w:szCs w:val="48"/>
        </w:rPr>
        <w:t>统计学院</w:t>
      </w:r>
      <w:r w:rsidR="005F5AC3">
        <w:rPr>
          <w:rFonts w:ascii="楷体" w:eastAsia="楷体" w:hAnsi="楷体" w:cs="楷体" w:hint="eastAsia"/>
          <w:b/>
          <w:sz w:val="48"/>
          <w:szCs w:val="48"/>
        </w:rPr>
        <w:t>---</w:t>
      </w:r>
      <w:r w:rsidR="005F5AC3">
        <w:rPr>
          <w:rFonts w:ascii="楷体" w:eastAsia="楷体" w:hAnsi="楷体" w:cs="楷体" w:hint="eastAsia"/>
          <w:b/>
          <w:sz w:val="48"/>
          <w:szCs w:val="48"/>
        </w:rPr>
        <w:t>统计学专业</w:t>
      </w:r>
    </w:p>
    <w:p w:rsidR="00A60648" w:rsidRDefault="005F5AC3">
      <w:pPr>
        <w:jc w:val="center"/>
        <w:rPr>
          <w:rFonts w:ascii="楷体" w:eastAsia="楷体" w:hAnsi="楷体" w:cs="楷体"/>
          <w:b/>
          <w:sz w:val="44"/>
          <w:szCs w:val="44"/>
        </w:rPr>
      </w:pPr>
      <w:r>
        <w:rPr>
          <w:rFonts w:ascii="楷体" w:eastAsia="楷体" w:hAnsi="楷体" w:cs="楷体" w:hint="eastAsia"/>
          <w:b/>
          <w:sz w:val="32"/>
          <w:szCs w:val="32"/>
        </w:rPr>
        <w:t>（大数据</w:t>
      </w:r>
      <w:r>
        <w:rPr>
          <w:rFonts w:ascii="楷体" w:eastAsia="楷体" w:hAnsi="楷体" w:cs="楷体" w:hint="eastAsia"/>
          <w:b/>
          <w:sz w:val="32"/>
          <w:szCs w:val="32"/>
        </w:rPr>
        <w:t>应用及数据</w:t>
      </w:r>
      <w:r>
        <w:rPr>
          <w:rFonts w:ascii="楷体" w:eastAsia="楷体" w:hAnsi="楷体" w:cs="楷体" w:hint="eastAsia"/>
          <w:b/>
          <w:sz w:val="32"/>
          <w:szCs w:val="32"/>
        </w:rPr>
        <w:t>分析方向）</w:t>
      </w:r>
    </w:p>
    <w:p w:rsidR="00A60648" w:rsidRDefault="005F5AC3">
      <w:pPr>
        <w:jc w:val="center"/>
        <w:rPr>
          <w:rFonts w:ascii="华文行楷" w:eastAsia="华文行楷" w:hAnsi="华文行楷" w:cs="华文行楷" w:hint="eastAsia"/>
          <w:b/>
          <w:sz w:val="44"/>
          <w:szCs w:val="44"/>
        </w:rPr>
      </w:pPr>
      <w:r>
        <w:rPr>
          <w:rFonts w:ascii="华文行楷" w:eastAsia="华文行楷" w:hAnsi="华文行楷" w:cs="华文行楷" w:hint="eastAsia"/>
          <w:b/>
          <w:sz w:val="44"/>
          <w:szCs w:val="44"/>
        </w:rPr>
        <w:t>在职研究生课程研修班招生简章</w:t>
      </w:r>
    </w:p>
    <w:p w:rsidR="00937D7A" w:rsidRDefault="00937D7A" w:rsidP="00937D7A">
      <w:pPr>
        <w:rPr>
          <w:rFonts w:ascii="华文行楷" w:eastAsia="华文行楷" w:hAnsi="华文行楷" w:cs="华文行楷" w:hint="eastAsia"/>
          <w:b/>
          <w:sz w:val="44"/>
          <w:szCs w:val="44"/>
        </w:rPr>
      </w:pPr>
      <w:r>
        <w:rPr>
          <w:rFonts w:ascii="华文行楷" w:eastAsia="华文行楷" w:hAnsi="华文行楷" w:cs="华文行楷" w:hint="eastAsia"/>
          <w:b/>
          <w:sz w:val="44"/>
          <w:szCs w:val="44"/>
        </w:rPr>
        <w:t>学费：33000    学制：两年  地点：北京</w:t>
      </w:r>
      <w:bookmarkStart w:id="0" w:name="_GoBack"/>
      <w:bookmarkEnd w:id="0"/>
    </w:p>
    <w:p w:rsidR="00937D7A" w:rsidRDefault="00937D7A">
      <w:pPr>
        <w:jc w:val="center"/>
        <w:rPr>
          <w:rFonts w:ascii="华文行楷" w:eastAsia="华文行楷" w:hAnsi="华文行楷" w:cs="华文行楷"/>
          <w:b/>
          <w:sz w:val="44"/>
          <w:szCs w:val="44"/>
        </w:rPr>
      </w:pPr>
    </w:p>
    <w:p w:rsidR="00A60648" w:rsidRDefault="005F5AC3">
      <w:pPr>
        <w:rPr>
          <w:rFonts w:ascii="黑体" w:eastAsia="黑体" w:hAnsi="黑体" w:cs="宋体"/>
          <w:b/>
          <w:bCs/>
          <w:color w:val="444444"/>
          <w:kern w:val="0"/>
          <w:sz w:val="28"/>
          <w:szCs w:val="28"/>
        </w:rPr>
      </w:pPr>
      <w:r>
        <w:rPr>
          <w:rFonts w:ascii="黑体" w:eastAsia="黑体" w:hAnsi="黑体" w:cs="宋体" w:hint="eastAsia"/>
          <w:b/>
          <w:bCs/>
          <w:color w:val="444444"/>
          <w:kern w:val="0"/>
          <w:sz w:val="28"/>
          <w:szCs w:val="28"/>
        </w:rPr>
        <w:t>一、学院专业优势及简介</w:t>
      </w:r>
    </w:p>
    <w:p w:rsidR="00A60648" w:rsidRDefault="005F5AC3">
      <w:pPr>
        <w:spacing w:line="120" w:lineRule="auto"/>
        <w:rPr>
          <w:rFonts w:ascii="楷体" w:eastAsia="楷体" w:hAnsi="楷体" w:cs="楷体"/>
          <w:sz w:val="28"/>
          <w:szCs w:val="28"/>
        </w:rPr>
      </w:pPr>
      <w:r>
        <w:rPr>
          <w:rFonts w:ascii="仿宋" w:eastAsia="仿宋" w:hAnsi="仿宋" w:hint="eastAsia"/>
          <w:color w:val="FF0000"/>
          <w:sz w:val="28"/>
          <w:szCs w:val="28"/>
        </w:rPr>
        <w:t>★</w:t>
      </w:r>
      <w:r>
        <w:rPr>
          <w:rFonts w:ascii="仿宋" w:eastAsia="仿宋" w:hAnsi="仿宋" w:hint="eastAsia"/>
          <w:sz w:val="24"/>
          <w:szCs w:val="24"/>
        </w:rPr>
        <w:t>在融入世界一流队列，开拓中国应用，培养高精尖应用统计人才，身先国家</w:t>
      </w:r>
      <w:r>
        <w:rPr>
          <w:rFonts w:ascii="仿宋" w:eastAsia="仿宋" w:hAnsi="仿宋" w:hint="eastAsia"/>
          <w:b/>
          <w:bCs/>
          <w:sz w:val="28"/>
          <w:szCs w:val="28"/>
        </w:rPr>
        <w:t>应用统计重点学科、教育部重点研究基地和国家统计局重点研究基地</w:t>
      </w:r>
      <w:r>
        <w:rPr>
          <w:rFonts w:ascii="仿宋" w:eastAsia="仿宋" w:hAnsi="仿宋" w:hint="eastAsia"/>
          <w:sz w:val="28"/>
          <w:szCs w:val="28"/>
        </w:rPr>
        <w:t>，</w:t>
      </w:r>
      <w:r>
        <w:rPr>
          <w:rFonts w:ascii="仿宋" w:eastAsia="仿宋" w:hAnsi="仿宋" w:hint="eastAsia"/>
          <w:sz w:val="24"/>
          <w:szCs w:val="24"/>
        </w:rPr>
        <w:t>全方位支持国家建设和发展上，做出了杰出的贡献。</w:t>
      </w:r>
    </w:p>
    <w:p w:rsidR="00A60648" w:rsidRDefault="005F5AC3">
      <w:pPr>
        <w:spacing w:line="120" w:lineRule="auto"/>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b/>
          <w:bCs/>
          <w:sz w:val="28"/>
          <w:szCs w:val="28"/>
        </w:rPr>
        <w:t>中国人民大学统计学院积极加强国内外交流</w:t>
      </w:r>
      <w:r>
        <w:rPr>
          <w:rFonts w:ascii="仿宋" w:eastAsia="仿宋" w:hAnsi="仿宋" w:hint="eastAsia"/>
          <w:sz w:val="28"/>
          <w:szCs w:val="28"/>
        </w:rPr>
        <w:t>。</w:t>
      </w:r>
      <w:r>
        <w:rPr>
          <w:rFonts w:ascii="仿宋" w:eastAsia="仿宋" w:hAnsi="仿宋" w:hint="eastAsia"/>
          <w:sz w:val="24"/>
          <w:szCs w:val="24"/>
        </w:rPr>
        <w:t>一方面积极建设博士后工作站并不断完善访问学者制度，加强与国内各高校相关专业专家学者的联系；另一方面全面提升国际性，在鼓励教师走出去的同时，也聘请了众多海外著名统计学专家到我院任兼职教授、客座教授。</w:t>
      </w:r>
    </w:p>
    <w:p w:rsidR="00A60648" w:rsidRDefault="005F5AC3">
      <w:pPr>
        <w:spacing w:line="120" w:lineRule="auto"/>
        <w:rPr>
          <w:rFonts w:ascii="仿宋" w:eastAsia="仿宋" w:hAnsi="仿宋"/>
          <w:sz w:val="24"/>
          <w:szCs w:val="24"/>
        </w:rPr>
      </w:pPr>
      <w:r>
        <w:rPr>
          <w:rFonts w:ascii="仿宋" w:eastAsia="仿宋" w:hAnsi="仿宋" w:hint="eastAsia"/>
          <w:color w:val="FF0000"/>
          <w:sz w:val="28"/>
          <w:szCs w:val="28"/>
        </w:rPr>
        <w:t>★</w:t>
      </w:r>
      <w:r>
        <w:rPr>
          <w:rFonts w:ascii="仿宋" w:eastAsia="仿宋" w:hAnsi="仿宋" w:hint="eastAsia"/>
          <w:b/>
          <w:bCs/>
          <w:sz w:val="28"/>
          <w:szCs w:val="28"/>
        </w:rPr>
        <w:t>统计学院注重统计理论与应用的结合</w:t>
      </w:r>
      <w:r>
        <w:rPr>
          <w:rFonts w:ascii="仿宋" w:eastAsia="仿宋" w:hAnsi="仿宋" w:hint="eastAsia"/>
          <w:sz w:val="28"/>
          <w:szCs w:val="28"/>
        </w:rPr>
        <w:t>，</w:t>
      </w:r>
      <w:r>
        <w:rPr>
          <w:rFonts w:ascii="仿宋" w:eastAsia="仿宋" w:hAnsi="仿宋" w:hint="eastAsia"/>
          <w:sz w:val="24"/>
          <w:szCs w:val="24"/>
        </w:rPr>
        <w:t>设有国家政府统计研究院、北美精算协会（</w:t>
      </w:r>
      <w:r>
        <w:rPr>
          <w:rFonts w:ascii="仿宋" w:eastAsia="仿宋" w:hAnsi="仿宋" w:hint="eastAsia"/>
          <w:sz w:val="24"/>
          <w:szCs w:val="24"/>
        </w:rPr>
        <w:t>SOA</w:t>
      </w:r>
      <w:r>
        <w:rPr>
          <w:rFonts w:ascii="仿宋" w:eastAsia="仿宋" w:hAnsi="仿宋" w:hint="eastAsia"/>
          <w:sz w:val="24"/>
          <w:szCs w:val="24"/>
        </w:rPr>
        <w:t>）考试中心、教育部人文社会科学重点研究基地“应用统计科学研究中心”与“全国应用统计专业学位研究生教育指导委员会”。</w:t>
      </w:r>
    </w:p>
    <w:p w:rsidR="00A60648" w:rsidRDefault="00A60648">
      <w:pPr>
        <w:spacing w:line="120" w:lineRule="auto"/>
        <w:rPr>
          <w:rFonts w:ascii="仿宋" w:eastAsia="仿宋" w:hAnsi="仿宋"/>
          <w:sz w:val="24"/>
          <w:szCs w:val="24"/>
        </w:rPr>
      </w:pPr>
    </w:p>
    <w:p w:rsidR="00A60648" w:rsidRDefault="005F5AC3">
      <w:pPr>
        <w:snapToGrid w:val="0"/>
        <w:ind w:firstLineChars="200" w:firstLine="560"/>
        <w:rPr>
          <w:rFonts w:ascii="仿宋" w:eastAsia="仿宋" w:hAnsi="仿宋"/>
          <w:sz w:val="28"/>
          <w:szCs w:val="28"/>
        </w:rPr>
      </w:pPr>
      <w:r>
        <w:rPr>
          <w:rFonts w:ascii="楷体" w:eastAsia="楷体" w:hAnsi="楷体" w:cs="楷体" w:hint="eastAsia"/>
          <w:sz w:val="28"/>
          <w:szCs w:val="28"/>
        </w:rPr>
        <w:t xml:space="preserve"> </w:t>
      </w:r>
      <w:r>
        <w:rPr>
          <w:rFonts w:ascii="仿宋" w:eastAsia="仿宋" w:hAnsi="仿宋" w:hint="eastAsia"/>
          <w:sz w:val="28"/>
          <w:szCs w:val="28"/>
        </w:rPr>
        <w:t>在互联网</w:t>
      </w:r>
      <w:r>
        <w:rPr>
          <w:rFonts w:ascii="仿宋" w:eastAsia="仿宋" w:hAnsi="仿宋" w:hint="eastAsia"/>
          <w:sz w:val="28"/>
          <w:szCs w:val="28"/>
        </w:rPr>
        <w:t>+</w:t>
      </w:r>
      <w:r>
        <w:rPr>
          <w:rFonts w:ascii="仿宋" w:eastAsia="仿宋" w:hAnsi="仿宋" w:hint="eastAsia"/>
          <w:sz w:val="28"/>
          <w:szCs w:val="28"/>
        </w:rPr>
        <w:t>和大数据快速发展的今天，统计学院面向社会服务已经取得辉煌的成就，中国社会调查数据中心，统计建模、随机分析</w:t>
      </w:r>
      <w:r>
        <w:rPr>
          <w:rFonts w:ascii="仿宋" w:eastAsia="仿宋" w:hAnsi="仿宋" w:hint="eastAsia"/>
          <w:sz w:val="28"/>
          <w:szCs w:val="28"/>
        </w:rPr>
        <w:t>及应用、抽样技术及应用、统计数据库与数据挖掘、多元统计分析等研究，培养了一大批优秀的高级应用统计人才进入政府公务员和经济、社会、金融、保险、管理等领域工作，建设了一些有针对社会需要的统计调查和数据分析研究平台体系，与国际一流大学和研究机构合作，不断提升为国家发展强大做出贡献的能力。</w:t>
      </w:r>
    </w:p>
    <w:p w:rsidR="00A60648" w:rsidRDefault="005F5AC3">
      <w:pPr>
        <w:snapToGrid w:val="0"/>
        <w:ind w:firstLineChars="200" w:firstLine="880"/>
        <w:rPr>
          <w:rFonts w:ascii="仿宋" w:eastAsia="仿宋" w:hAnsi="仿宋"/>
          <w:sz w:val="28"/>
          <w:szCs w:val="28"/>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120015</wp:posOffset>
                </wp:positionV>
                <wp:extent cx="5410200" cy="9525"/>
                <wp:effectExtent l="33655" t="29845" r="42545" b="93980"/>
                <wp:wrapNone/>
                <wp:docPr id="8" name="直接连接符 8"/>
                <wp:cNvGraphicFramePr/>
                <a:graphic xmlns:a="http://schemas.openxmlformats.org/drawingml/2006/main">
                  <a:graphicData uri="http://schemas.microsoft.com/office/word/2010/wordprocessingShape">
                    <wps:wsp>
                      <wps:cNvCnPr/>
                      <wps:spPr>
                        <a:xfrm>
                          <a:off x="0" y="0"/>
                          <a:ext cx="5410200" cy="952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75pt;margin-top:9.45pt;height:0.75pt;width:426pt;z-index:251659264;mso-width-relative:page;mso-height-relative:page;" filled="f" stroked="t" coordsize="21600,21600" o:gfxdata="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le7B9YAAAAIAQAADwAAAAAAAAABACAAAAAiAAAA&#10;ZHJzL2Rvd25yZXYueG1sUEsBAhQAFAAAAAgAh07iQAXMwYIJAgAA/AMAAA4AAAAAAAAAAQAgAAAA&#10;JQEAAGRycy9lMm9Eb2MueG1sUEsFBgAAAAAGAAYAWQEAAKAFAAAAAA==&#10;">
                <v:fill on="f" focussize="0,0"/>
                <v:stroke weight="3pt" color="#C00000 [3200]" joinstyle="round"/>
                <v:imagedata o:title=""/>
                <o:lock v:ext="edit" aspectratio="f"/>
                <v:shadow on="t" color="#000000" opacity="22937f" offset="0pt,1.81102362204724pt" origin="0f,32768f" matrix="65536f,0f,0f,65536f"/>
              </v:line>
            </w:pict>
          </mc:Fallback>
        </mc:AlternateContent>
      </w:r>
    </w:p>
    <w:p w:rsidR="00A60648" w:rsidRDefault="005F5AC3">
      <w:pPr>
        <w:numPr>
          <w:ilvl w:val="0"/>
          <w:numId w:val="1"/>
        </w:numPr>
        <w:rPr>
          <w:rFonts w:ascii="黑体" w:eastAsia="黑体" w:hAnsi="黑体" w:cs="宋体"/>
          <w:b/>
          <w:bCs/>
          <w:color w:val="444444"/>
          <w:kern w:val="0"/>
          <w:sz w:val="28"/>
          <w:szCs w:val="28"/>
        </w:rPr>
      </w:pPr>
      <w:r>
        <w:rPr>
          <w:rFonts w:ascii="黑体" w:eastAsia="黑体" w:hAnsi="黑体" w:cs="宋体" w:hint="eastAsia"/>
          <w:b/>
          <w:bCs/>
          <w:color w:val="444444"/>
          <w:kern w:val="0"/>
          <w:sz w:val="28"/>
          <w:szCs w:val="28"/>
        </w:rPr>
        <w:t>培养目标及应用范围</w:t>
      </w:r>
    </w:p>
    <w:p w:rsidR="00A60648" w:rsidRDefault="005F5AC3">
      <w:pPr>
        <w:pStyle w:val="a6"/>
        <w:widowControl/>
        <w:spacing w:line="525" w:lineRule="atLeast"/>
        <w:ind w:left="150" w:right="150" w:firstLine="420"/>
        <w:rPr>
          <w:rFonts w:ascii="仿宋" w:eastAsia="仿宋" w:hAnsi="仿宋" w:cstheme="minorBidi" w:hint="default"/>
          <w:b/>
          <w:bCs/>
          <w:kern w:val="2"/>
          <w:szCs w:val="24"/>
        </w:rPr>
      </w:pPr>
      <w:r>
        <w:rPr>
          <w:rFonts w:ascii="仿宋" w:eastAsia="仿宋" w:hAnsi="仿宋" w:cstheme="minorBidi"/>
          <w:b/>
          <w:bCs/>
          <w:kern w:val="2"/>
          <w:szCs w:val="24"/>
        </w:rPr>
        <w:t>【培养目标】</w:t>
      </w:r>
    </w:p>
    <w:p w:rsidR="00A60648" w:rsidRDefault="005F5AC3">
      <w:pPr>
        <w:pStyle w:val="a6"/>
        <w:widowControl/>
        <w:spacing w:line="525" w:lineRule="atLeast"/>
        <w:ind w:left="150" w:right="150" w:firstLine="420"/>
        <w:rPr>
          <w:rFonts w:ascii="仿宋" w:eastAsia="仿宋" w:hAnsi="仿宋" w:cstheme="minorBidi" w:hint="default"/>
          <w:kern w:val="2"/>
          <w:szCs w:val="24"/>
        </w:rPr>
      </w:pPr>
      <w:r>
        <w:rPr>
          <w:rFonts w:ascii="仿宋" w:eastAsia="仿宋" w:hAnsi="仿宋" w:cstheme="minorBidi"/>
          <w:kern w:val="2"/>
          <w:szCs w:val="24"/>
        </w:rPr>
        <w:lastRenderedPageBreak/>
        <w:t>本硕士学位授予点的培养目标为：具有坚实的数理统计学基础理论，具有系统的研究方向专门知识，具有独立从事实际数据采集、处理和分析的能力，能够熟练运用统计软件，能为实际问题的解决和决策提供量化的依据，具有能够继续进行博士课程学习和研究的能力，成为各研究方向统计分析的高级人才。</w:t>
      </w:r>
    </w:p>
    <w:p w:rsidR="00A60648" w:rsidRDefault="005F5AC3">
      <w:pPr>
        <w:pStyle w:val="a6"/>
        <w:widowControl/>
        <w:spacing w:line="525" w:lineRule="atLeast"/>
        <w:ind w:left="150" w:right="150" w:firstLine="420"/>
        <w:rPr>
          <w:rFonts w:ascii="仿宋" w:eastAsia="仿宋" w:hAnsi="仿宋" w:cstheme="minorBidi" w:hint="default"/>
          <w:kern w:val="2"/>
          <w:szCs w:val="24"/>
        </w:rPr>
      </w:pPr>
      <w:r>
        <w:rPr>
          <w:rFonts w:ascii="仿宋" w:eastAsia="仿宋" w:hAnsi="仿宋" w:cstheme="minorBidi"/>
          <w:kern w:val="2"/>
          <w:szCs w:val="24"/>
        </w:rPr>
        <w:t>统计学院博士学位授予点：统计学、风险管理与精算学</w:t>
      </w:r>
    </w:p>
    <w:p w:rsidR="00A60648" w:rsidRDefault="005F5AC3">
      <w:pPr>
        <w:pStyle w:val="a6"/>
        <w:widowControl/>
        <w:spacing w:line="525" w:lineRule="atLeast"/>
        <w:ind w:left="150" w:right="150" w:firstLine="420"/>
        <w:rPr>
          <w:rFonts w:ascii="仿宋" w:eastAsia="仿宋" w:hAnsi="仿宋" w:hint="default"/>
          <w:szCs w:val="24"/>
        </w:rPr>
      </w:pPr>
      <w:r>
        <w:rPr>
          <w:rFonts w:ascii="仿宋" w:eastAsia="仿宋" w:hAnsi="仿宋"/>
          <w:szCs w:val="24"/>
        </w:rPr>
        <w:t>统计学专业方向旨在培养学生扎实的现代统计方法和数据挖掘方法基础，具备对社会科学领域的实际问题，包括经济学、金融学、管理学和人文社会科学等领域的问题，进行量化研究的能力。</w:t>
      </w:r>
    </w:p>
    <w:p w:rsidR="00A60648" w:rsidRDefault="005F5AC3">
      <w:pPr>
        <w:pStyle w:val="a6"/>
        <w:widowControl/>
        <w:spacing w:line="525" w:lineRule="atLeast"/>
        <w:ind w:left="150" w:right="150" w:firstLine="420"/>
        <w:rPr>
          <w:rFonts w:ascii="仿宋" w:eastAsia="仿宋" w:hAnsi="仿宋" w:hint="default"/>
          <w:b/>
          <w:bCs/>
          <w:szCs w:val="24"/>
        </w:rPr>
      </w:pPr>
      <w:r>
        <w:rPr>
          <w:rFonts w:ascii="仿宋" w:eastAsia="仿宋" w:hAnsi="仿宋"/>
          <w:b/>
          <w:bCs/>
          <w:szCs w:val="24"/>
        </w:rPr>
        <w:t>【就业方向】</w:t>
      </w:r>
    </w:p>
    <w:p w:rsidR="00A60648" w:rsidRDefault="005F5AC3">
      <w:pPr>
        <w:pStyle w:val="a6"/>
        <w:widowControl/>
        <w:spacing w:line="525" w:lineRule="atLeast"/>
        <w:ind w:left="150" w:right="150" w:firstLine="420"/>
        <w:rPr>
          <w:rFonts w:ascii="仿宋" w:eastAsia="仿宋" w:hAnsi="仿宋" w:hint="default"/>
          <w:szCs w:val="24"/>
        </w:rPr>
      </w:pPr>
      <w:r>
        <w:rPr>
          <w:rFonts w:ascii="仿宋" w:eastAsia="仿宋" w:hAnsi="仿宋"/>
          <w:szCs w:val="24"/>
        </w:rPr>
        <w:t>本专业毕业生非常受就业单位欢迎，毕业去向广泛，包括中央机关及国务院各部委、出国留学、金融和保险部门、投资、证券及社会保障机构、市场调研、咨询及信息产业部门、大型国有企事业单位、高等院校或研究所、制药行业、医院以及其他各类公司等。</w:t>
      </w:r>
    </w:p>
    <w:p w:rsidR="00A60648" w:rsidRDefault="00A60648">
      <w:pPr>
        <w:pStyle w:val="a6"/>
        <w:widowControl/>
        <w:spacing w:line="525" w:lineRule="atLeast"/>
        <w:ind w:left="150" w:right="150" w:firstLine="420"/>
        <w:rPr>
          <w:rFonts w:ascii="仿宋" w:eastAsia="仿宋" w:hAnsi="仿宋" w:hint="default"/>
          <w:szCs w:val="24"/>
        </w:rPr>
      </w:pPr>
    </w:p>
    <w:p w:rsidR="00A60648" w:rsidRDefault="005F5AC3">
      <w:pPr>
        <w:rPr>
          <w:rFonts w:ascii="黑体" w:eastAsia="黑体" w:hAnsi="黑体" w:cs="宋体"/>
          <w:b/>
          <w:bCs/>
          <w:color w:val="444444"/>
          <w:kern w:val="0"/>
          <w:sz w:val="28"/>
          <w:szCs w:val="28"/>
        </w:rPr>
      </w:pPr>
      <w:r>
        <w:rPr>
          <w:rFonts w:ascii="黑体" w:eastAsia="黑体" w:hAnsi="黑体" w:cs="宋体" w:hint="eastAsia"/>
          <w:b/>
          <w:bCs/>
          <w:color w:val="444444"/>
          <w:kern w:val="0"/>
          <w:sz w:val="28"/>
          <w:szCs w:val="28"/>
        </w:rPr>
        <w:t>三、统计学（大数据</w:t>
      </w:r>
      <w:r>
        <w:rPr>
          <w:rFonts w:ascii="黑体" w:eastAsia="黑体" w:hAnsi="黑体" w:cs="宋体" w:hint="eastAsia"/>
          <w:b/>
          <w:bCs/>
          <w:color w:val="444444"/>
          <w:kern w:val="0"/>
          <w:sz w:val="28"/>
          <w:szCs w:val="28"/>
        </w:rPr>
        <w:t>应用及数据</w:t>
      </w:r>
      <w:r>
        <w:rPr>
          <w:rFonts w:ascii="黑体" w:eastAsia="黑体" w:hAnsi="黑体" w:cs="宋体" w:hint="eastAsia"/>
          <w:b/>
          <w:bCs/>
          <w:color w:val="444444"/>
          <w:kern w:val="0"/>
          <w:sz w:val="28"/>
          <w:szCs w:val="28"/>
        </w:rPr>
        <w:t>分析方向）课程安排</w:t>
      </w:r>
    </w:p>
    <w:p w:rsidR="00A60648" w:rsidRDefault="005F5AC3">
      <w:pPr>
        <w:pStyle w:val="a6"/>
        <w:widowControl/>
        <w:spacing w:line="525" w:lineRule="atLeast"/>
        <w:ind w:right="150"/>
        <w:rPr>
          <w:rFonts w:ascii="仿宋" w:eastAsia="仿宋" w:hAnsi="仿宋" w:hint="default"/>
          <w:b/>
          <w:bCs/>
          <w:sz w:val="22"/>
        </w:rPr>
      </w:pPr>
      <w:r>
        <w:rPr>
          <w:rFonts w:ascii="仿宋" w:eastAsia="仿宋" w:hAnsi="仿宋"/>
          <w:b/>
          <w:bCs/>
          <w:sz w:val="22"/>
        </w:rPr>
        <w:t>根据我院全日制研究生培养方案学分要求，在职研究生开设课程包括：</w:t>
      </w:r>
    </w:p>
    <w:tbl>
      <w:tblPr>
        <w:tblW w:w="9216" w:type="dxa"/>
        <w:jc w:val="center"/>
        <w:tblInd w:w="-269" w:type="dxa"/>
        <w:tblLayout w:type="fixed"/>
        <w:tblCellMar>
          <w:top w:w="15" w:type="dxa"/>
          <w:left w:w="15" w:type="dxa"/>
          <w:bottom w:w="15" w:type="dxa"/>
          <w:right w:w="15" w:type="dxa"/>
        </w:tblCellMar>
        <w:tblLook w:val="04A0" w:firstRow="1" w:lastRow="0" w:firstColumn="1" w:lastColumn="0" w:noHBand="0" w:noVBand="1"/>
      </w:tblPr>
      <w:tblGrid>
        <w:gridCol w:w="804"/>
        <w:gridCol w:w="951"/>
        <w:gridCol w:w="2287"/>
        <w:gridCol w:w="563"/>
        <w:gridCol w:w="4611"/>
      </w:tblGrid>
      <w:tr w:rsidR="00A60648">
        <w:trPr>
          <w:trHeight w:val="285"/>
          <w:jc w:val="center"/>
        </w:trPr>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题</w:t>
            </w:r>
          </w:p>
          <w:p w:rsidR="00A60648" w:rsidRDefault="005F5AC3">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库</w:t>
            </w:r>
          </w:p>
          <w:p w:rsidR="00A60648" w:rsidRDefault="005F5AC3">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课</w:t>
            </w:r>
          </w:p>
          <w:p w:rsidR="00A60648" w:rsidRDefault="005F5A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程</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类别</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课程名称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学分</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课程介绍</w:t>
            </w:r>
          </w:p>
        </w:tc>
      </w:tr>
      <w:tr w:rsidR="00A60648">
        <w:trPr>
          <w:trHeight w:val="600"/>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中国特色社会主义理论与实践</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政治理论课</w:t>
            </w:r>
          </w:p>
        </w:tc>
      </w:tr>
      <w:tr w:rsidR="00A60648">
        <w:trPr>
          <w:trHeight w:val="1040"/>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高等统计学</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数理统计学</w:t>
            </w:r>
            <w:r>
              <w:rPr>
                <w:rFonts w:ascii="宋体" w:eastAsia="宋体" w:hAnsi="宋体" w:cs="宋体" w:hint="eastAsia"/>
                <w:color w:val="000000"/>
                <w:kern w:val="0"/>
                <w:sz w:val="18"/>
                <w:szCs w:val="18"/>
                <w:lang w:bidi="ar"/>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目的在于使学生在原基础上，理解数理统计的基本概念，熟悉抽样分布理论，掌握参数估计的理论与方法、统计假设检验的主要方法、统计决策理论与</w:t>
            </w:r>
            <w:r>
              <w:rPr>
                <w:rFonts w:ascii="宋体" w:eastAsia="宋体" w:hAnsi="宋体" w:cs="宋体" w:hint="eastAsia"/>
                <w:color w:val="000000"/>
                <w:kern w:val="0"/>
                <w:sz w:val="18"/>
                <w:szCs w:val="18"/>
                <w:lang w:bidi="ar"/>
              </w:rPr>
              <w:t>Bayes</w:t>
            </w:r>
            <w:r>
              <w:rPr>
                <w:rFonts w:ascii="宋体" w:eastAsia="宋体" w:hAnsi="宋体" w:cs="宋体" w:hint="eastAsia"/>
                <w:color w:val="000000"/>
                <w:kern w:val="0"/>
                <w:sz w:val="18"/>
                <w:szCs w:val="18"/>
                <w:lang w:bidi="ar"/>
              </w:rPr>
              <w:t>分析，以及统计计算方法。</w:t>
            </w:r>
          </w:p>
        </w:tc>
      </w:tr>
      <w:tr w:rsidR="00A60648">
        <w:trPr>
          <w:trHeight w:val="785"/>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统计思想综述</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统计学的方法论课程。统计学科的定义、核心和边界，理论要点。各种方法的前提假设与应用边界条件。</w:t>
            </w:r>
          </w:p>
        </w:tc>
      </w:tr>
      <w:tr w:rsidR="00A60648">
        <w:trPr>
          <w:trHeight w:val="875"/>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抽样技术与方法</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主要介绍古典概率抽样方法，利用辅助信息基于线性模型的估计，二重抽样，最优抽样设计，无回答和计量误差等。</w:t>
            </w:r>
          </w:p>
        </w:tc>
      </w:tr>
      <w:tr w:rsidR="00A60648">
        <w:trPr>
          <w:trHeight w:val="285"/>
          <w:jc w:val="center"/>
        </w:trPr>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非</w:t>
            </w:r>
          </w:p>
          <w:p w:rsidR="00A60648" w:rsidRDefault="005F5AC3">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题</w:t>
            </w:r>
          </w:p>
          <w:p w:rsidR="00A60648" w:rsidRDefault="005F5AC3">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lastRenderedPageBreak/>
              <w:t>库</w:t>
            </w:r>
          </w:p>
          <w:p w:rsidR="00A60648" w:rsidRDefault="005F5AC3">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课</w:t>
            </w:r>
          </w:p>
          <w:p w:rsidR="00A60648" w:rsidRDefault="005F5A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程</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专业外语（英语）</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语言基础、国考科目</w:t>
            </w:r>
          </w:p>
        </w:tc>
      </w:tr>
      <w:tr w:rsidR="00A60648">
        <w:trPr>
          <w:trHeight w:val="285"/>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马克思主义与社会科学方法</w:t>
            </w:r>
            <w:r>
              <w:rPr>
                <w:rFonts w:ascii="宋体" w:eastAsia="宋体" w:hAnsi="宋体" w:cs="宋体" w:hint="eastAsia"/>
                <w:color w:val="000000"/>
                <w:kern w:val="0"/>
                <w:sz w:val="18"/>
                <w:szCs w:val="18"/>
                <w:lang w:bidi="ar"/>
              </w:rPr>
              <w:lastRenderedPageBreak/>
              <w:t>论</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政治理论课</w:t>
            </w:r>
          </w:p>
        </w:tc>
      </w:tr>
      <w:tr w:rsidR="00A60648">
        <w:trPr>
          <w:trHeight w:val="770"/>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《资本论》选读</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本课程要求学生必修。讨论马克思《资本论》的对象、方法、结构和基本理论以及对研究当代经济问题的指导意义。</w:t>
            </w:r>
          </w:p>
        </w:tc>
      </w:tr>
      <w:tr w:rsidR="00A60648">
        <w:trPr>
          <w:trHeight w:val="905"/>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多元统计分析</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本课程的内容包括多元回归分析，判别分析，聚类分析，主成分分析，因子分析，典型相关分析，结构方程模型，对应分析等。</w:t>
            </w:r>
          </w:p>
        </w:tc>
      </w:tr>
      <w:tr w:rsidR="00A60648">
        <w:trPr>
          <w:trHeight w:val="980"/>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数据挖掘方法与应用</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通过课程教学和专题讨论，掌握数据挖掘常用方法的基本原理和方法特点，并能够运用数据挖掘软件解决数据挖掘的实际问题。</w:t>
            </w:r>
          </w:p>
        </w:tc>
      </w:tr>
      <w:tr w:rsidR="00A60648">
        <w:trPr>
          <w:trHeight w:val="1535"/>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定性数据研究方法</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本课程主要讲授定性数据的搜集方法和对定性数据的分析方法；主要内容有</w:t>
            </w:r>
            <w:proofErr w:type="gramStart"/>
            <w:r>
              <w:rPr>
                <w:rFonts w:ascii="宋体" w:eastAsia="宋体" w:hAnsi="宋体" w:cs="宋体" w:hint="eastAsia"/>
                <w:color w:val="000000"/>
                <w:kern w:val="0"/>
                <w:sz w:val="18"/>
                <w:szCs w:val="18"/>
                <w:lang w:bidi="ar"/>
              </w:rPr>
              <w:t>凯利表</w:t>
            </w:r>
            <w:proofErr w:type="gramEnd"/>
            <w:r>
              <w:rPr>
                <w:rFonts w:ascii="宋体" w:eastAsia="宋体" w:hAnsi="宋体" w:cs="宋体" w:hint="eastAsia"/>
                <w:color w:val="000000"/>
                <w:kern w:val="0"/>
                <w:sz w:val="18"/>
                <w:szCs w:val="18"/>
                <w:lang w:bidi="ar"/>
              </w:rPr>
              <w:t>的数据采集与分析，焦点组技术、</w:t>
            </w:r>
            <w:proofErr w:type="gramStart"/>
            <w:r>
              <w:rPr>
                <w:rFonts w:ascii="宋体" w:eastAsia="宋体" w:hAnsi="宋体" w:cs="宋体" w:hint="eastAsia"/>
                <w:color w:val="000000"/>
                <w:kern w:val="0"/>
                <w:sz w:val="18"/>
                <w:szCs w:val="18"/>
                <w:lang w:bidi="ar"/>
              </w:rPr>
              <w:t>深访技术</w:t>
            </w:r>
            <w:proofErr w:type="gramEnd"/>
            <w:r>
              <w:rPr>
                <w:rFonts w:ascii="宋体" w:eastAsia="宋体" w:hAnsi="宋体" w:cs="宋体" w:hint="eastAsia"/>
                <w:color w:val="000000"/>
                <w:kern w:val="0"/>
                <w:sz w:val="18"/>
                <w:szCs w:val="18"/>
                <w:lang w:bidi="ar"/>
              </w:rPr>
              <w:t>、文本分析等方法；课程的教学目的是掌握定性数据的研究方法并能够与定量技术结合使用。</w:t>
            </w:r>
          </w:p>
        </w:tc>
      </w:tr>
      <w:tr w:rsidR="00A60648">
        <w:trPr>
          <w:trHeight w:val="995"/>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统计预测</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本课程主要包含如下内容：平稳序列建模及预测，波动性建模，</w:t>
            </w:r>
            <w:proofErr w:type="gramStart"/>
            <w:r>
              <w:rPr>
                <w:rFonts w:ascii="宋体" w:eastAsia="宋体" w:hAnsi="宋体" w:cs="宋体" w:hint="eastAsia"/>
                <w:color w:val="000000"/>
                <w:kern w:val="0"/>
                <w:sz w:val="18"/>
                <w:szCs w:val="18"/>
                <w:lang w:bidi="ar"/>
              </w:rPr>
              <w:t>协整和</w:t>
            </w:r>
            <w:proofErr w:type="gramEnd"/>
            <w:r>
              <w:rPr>
                <w:rFonts w:ascii="宋体" w:eastAsia="宋体" w:hAnsi="宋体" w:cs="宋体" w:hint="eastAsia"/>
                <w:color w:val="000000"/>
                <w:kern w:val="0"/>
                <w:sz w:val="18"/>
                <w:szCs w:val="18"/>
                <w:lang w:bidi="ar"/>
              </w:rPr>
              <w:t>误差修正模型，向量自回归模型及面板数据建模。</w:t>
            </w:r>
          </w:p>
        </w:tc>
      </w:tr>
      <w:tr w:rsidR="00A60648">
        <w:trPr>
          <w:trHeight w:val="950"/>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宏观经济统计分析</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主要是讲述中国宏观经济统计分析的内容，集理论、问题、数据、方法于一体，案例加体系的课程。</w:t>
            </w:r>
          </w:p>
        </w:tc>
      </w:tr>
      <w:tr w:rsidR="00A60648">
        <w:trPr>
          <w:trHeight w:val="665"/>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必修课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经济统计研究</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以国民经济核算为起点做内容扩展，培养运用统计手段进行宏观经济观察分析的能力。</w:t>
            </w:r>
          </w:p>
        </w:tc>
      </w:tr>
      <w:tr w:rsidR="00A60648">
        <w:trPr>
          <w:trHeight w:val="1295"/>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选修课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统计诊断</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涉及的主要内容：回归异常点分析、残差分析、回归影响分析、数据变换及诊断、广义影响分析、多元回归诊断、其他广义模型诊断、拟合欠佳检验、非参数蒙特卡罗检验、实例分析等等。</w:t>
            </w:r>
          </w:p>
        </w:tc>
      </w:tr>
      <w:tr w:rsidR="00A60648">
        <w:trPr>
          <w:trHeight w:val="635"/>
          <w:jc w:val="center"/>
        </w:trPr>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A60648">
            <w:pPr>
              <w:jc w:val="center"/>
              <w:rPr>
                <w:rFonts w:ascii="宋体" w:eastAsia="宋体" w:hAnsi="宋体" w:cs="宋体"/>
                <w:b/>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选修课</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市场研究</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648" w:rsidRDefault="005F5AC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通过案例分析展现市场研究过程的各个步骤，运用数据分析解决市场营销管理的决策问题。</w:t>
            </w:r>
          </w:p>
        </w:tc>
      </w:tr>
    </w:tbl>
    <w:tbl>
      <w:tblPr>
        <w:tblStyle w:val="a9"/>
        <w:tblW w:w="9192" w:type="dxa"/>
        <w:jc w:val="center"/>
        <w:tblInd w:w="-170" w:type="dxa"/>
        <w:tblLayout w:type="fixed"/>
        <w:tblLook w:val="04A0" w:firstRow="1" w:lastRow="0" w:firstColumn="1" w:lastColumn="0" w:noHBand="0" w:noVBand="1"/>
      </w:tblPr>
      <w:tblGrid>
        <w:gridCol w:w="2300"/>
        <w:gridCol w:w="6892"/>
      </w:tblGrid>
      <w:tr w:rsidR="00A60648">
        <w:trPr>
          <w:jc w:val="center"/>
        </w:trPr>
        <w:tc>
          <w:tcPr>
            <w:tcW w:w="2300" w:type="dxa"/>
            <w:vMerge w:val="restart"/>
            <w:vAlign w:val="center"/>
          </w:tcPr>
          <w:p w:rsidR="00A60648" w:rsidRDefault="005F5AC3">
            <w:pPr>
              <w:jc w:val="center"/>
              <w:rPr>
                <w:rFonts w:ascii="仿宋" w:eastAsia="仿宋" w:hAnsi="仿宋" w:cs="Arial"/>
                <w:sz w:val="20"/>
                <w:szCs w:val="20"/>
              </w:rPr>
            </w:pPr>
            <w:r>
              <w:rPr>
                <w:rFonts w:ascii="仿宋" w:eastAsia="仿宋" w:hAnsi="仿宋" w:cs="Arial" w:hint="eastAsia"/>
                <w:b/>
                <w:sz w:val="20"/>
                <w:szCs w:val="20"/>
              </w:rPr>
              <w:t>前沿讲座</w:t>
            </w:r>
          </w:p>
        </w:tc>
        <w:tc>
          <w:tcPr>
            <w:tcW w:w="6892" w:type="dxa"/>
          </w:tcPr>
          <w:p w:rsidR="00A60648" w:rsidRDefault="005F5AC3">
            <w:pPr>
              <w:jc w:val="center"/>
              <w:rPr>
                <w:rFonts w:ascii="仿宋" w:eastAsia="仿宋" w:hAnsi="仿宋" w:cs="Arial"/>
                <w:sz w:val="20"/>
                <w:szCs w:val="20"/>
              </w:rPr>
            </w:pPr>
            <w:r>
              <w:rPr>
                <w:rFonts w:ascii="仿宋" w:eastAsia="仿宋" w:hAnsi="仿宋" w:cs="Arial"/>
                <w:sz w:val="20"/>
                <w:szCs w:val="20"/>
              </w:rPr>
              <w:t>资本存量估算研究</w:t>
            </w:r>
          </w:p>
        </w:tc>
      </w:tr>
      <w:tr w:rsidR="00A60648">
        <w:trPr>
          <w:jc w:val="center"/>
        </w:trPr>
        <w:tc>
          <w:tcPr>
            <w:tcW w:w="2300" w:type="dxa"/>
            <w:vMerge/>
          </w:tcPr>
          <w:p w:rsidR="00A60648" w:rsidRDefault="00A60648">
            <w:pPr>
              <w:rPr>
                <w:rFonts w:ascii="仿宋" w:eastAsia="仿宋" w:hAnsi="仿宋" w:cs="Arial"/>
                <w:sz w:val="20"/>
                <w:szCs w:val="20"/>
              </w:rPr>
            </w:pPr>
          </w:p>
        </w:tc>
        <w:tc>
          <w:tcPr>
            <w:tcW w:w="6892" w:type="dxa"/>
          </w:tcPr>
          <w:p w:rsidR="00A60648" w:rsidRDefault="005F5AC3">
            <w:pPr>
              <w:jc w:val="center"/>
              <w:rPr>
                <w:rFonts w:ascii="仿宋" w:eastAsia="仿宋" w:hAnsi="仿宋" w:cs="Arial"/>
                <w:sz w:val="20"/>
                <w:szCs w:val="20"/>
              </w:rPr>
            </w:pPr>
            <w:r>
              <w:rPr>
                <w:rFonts w:ascii="仿宋" w:eastAsia="仿宋" w:hAnsi="仿宋" w:cs="Arial"/>
                <w:sz w:val="20"/>
                <w:szCs w:val="20"/>
              </w:rPr>
              <w:t>针对中国的综合环境经济核算实施与建模研究</w:t>
            </w:r>
          </w:p>
        </w:tc>
      </w:tr>
      <w:tr w:rsidR="00A60648">
        <w:trPr>
          <w:jc w:val="center"/>
        </w:trPr>
        <w:tc>
          <w:tcPr>
            <w:tcW w:w="2300" w:type="dxa"/>
            <w:vMerge/>
          </w:tcPr>
          <w:p w:rsidR="00A60648" w:rsidRDefault="00A60648">
            <w:pPr>
              <w:rPr>
                <w:rFonts w:ascii="仿宋" w:eastAsia="仿宋" w:hAnsi="仿宋" w:cs="Arial"/>
                <w:sz w:val="20"/>
                <w:szCs w:val="20"/>
              </w:rPr>
            </w:pPr>
          </w:p>
        </w:tc>
        <w:tc>
          <w:tcPr>
            <w:tcW w:w="6892" w:type="dxa"/>
          </w:tcPr>
          <w:p w:rsidR="00A60648" w:rsidRDefault="005F5AC3">
            <w:pPr>
              <w:jc w:val="center"/>
              <w:rPr>
                <w:rFonts w:ascii="仿宋" w:eastAsia="仿宋" w:hAnsi="仿宋" w:cs="Arial"/>
                <w:sz w:val="20"/>
                <w:szCs w:val="20"/>
              </w:rPr>
            </w:pPr>
            <w:r>
              <w:rPr>
                <w:rFonts w:ascii="仿宋" w:eastAsia="仿宋" w:hAnsi="仿宋" w:cs="Arial"/>
                <w:sz w:val="20"/>
                <w:szCs w:val="20"/>
              </w:rPr>
              <w:t>全球化背景下中国对外经济统计与计量分析</w:t>
            </w:r>
          </w:p>
        </w:tc>
      </w:tr>
      <w:tr w:rsidR="00A60648">
        <w:trPr>
          <w:jc w:val="center"/>
        </w:trPr>
        <w:tc>
          <w:tcPr>
            <w:tcW w:w="2300" w:type="dxa"/>
            <w:vMerge/>
          </w:tcPr>
          <w:p w:rsidR="00A60648" w:rsidRDefault="00A60648">
            <w:pPr>
              <w:rPr>
                <w:rFonts w:ascii="仿宋" w:eastAsia="仿宋" w:hAnsi="仿宋" w:cs="Arial"/>
                <w:sz w:val="20"/>
                <w:szCs w:val="20"/>
              </w:rPr>
            </w:pPr>
          </w:p>
        </w:tc>
        <w:tc>
          <w:tcPr>
            <w:tcW w:w="6892" w:type="dxa"/>
          </w:tcPr>
          <w:p w:rsidR="00A60648" w:rsidRDefault="005F5AC3">
            <w:pPr>
              <w:jc w:val="center"/>
              <w:rPr>
                <w:rFonts w:ascii="仿宋" w:eastAsia="仿宋" w:hAnsi="仿宋" w:cs="Arial"/>
                <w:sz w:val="20"/>
                <w:szCs w:val="20"/>
              </w:rPr>
            </w:pPr>
            <w:r>
              <w:rPr>
                <w:rFonts w:ascii="仿宋" w:eastAsia="仿宋" w:hAnsi="仿宋" w:cs="Arial"/>
                <w:sz w:val="20"/>
                <w:szCs w:val="20"/>
              </w:rPr>
              <w:t>环境经济核算国际经验追踪及环境会计研究</w:t>
            </w:r>
          </w:p>
        </w:tc>
      </w:tr>
      <w:tr w:rsidR="00A60648">
        <w:trPr>
          <w:jc w:val="center"/>
        </w:trPr>
        <w:tc>
          <w:tcPr>
            <w:tcW w:w="2300" w:type="dxa"/>
            <w:vMerge/>
          </w:tcPr>
          <w:p w:rsidR="00A60648" w:rsidRDefault="00A60648">
            <w:pPr>
              <w:rPr>
                <w:rFonts w:ascii="仿宋" w:eastAsia="仿宋" w:hAnsi="仿宋" w:cs="Arial"/>
                <w:sz w:val="20"/>
                <w:szCs w:val="20"/>
              </w:rPr>
            </w:pPr>
          </w:p>
        </w:tc>
        <w:tc>
          <w:tcPr>
            <w:tcW w:w="6892" w:type="dxa"/>
          </w:tcPr>
          <w:p w:rsidR="00A60648" w:rsidRDefault="005F5AC3">
            <w:pPr>
              <w:jc w:val="center"/>
              <w:rPr>
                <w:rFonts w:ascii="仿宋" w:eastAsia="仿宋" w:hAnsi="仿宋" w:cs="Arial"/>
                <w:sz w:val="20"/>
                <w:szCs w:val="20"/>
              </w:rPr>
            </w:pPr>
            <w:r>
              <w:rPr>
                <w:rFonts w:ascii="仿宋" w:eastAsia="仿宋" w:hAnsi="仿宋" w:cs="Arial"/>
                <w:sz w:val="20"/>
                <w:szCs w:val="20"/>
              </w:rPr>
              <w:t>中国信息服务业发展与影响研究</w:t>
            </w:r>
          </w:p>
        </w:tc>
      </w:tr>
      <w:tr w:rsidR="00A60648">
        <w:trPr>
          <w:jc w:val="center"/>
        </w:trPr>
        <w:tc>
          <w:tcPr>
            <w:tcW w:w="2300" w:type="dxa"/>
            <w:vMerge/>
          </w:tcPr>
          <w:p w:rsidR="00A60648" w:rsidRDefault="00A60648">
            <w:pPr>
              <w:rPr>
                <w:rFonts w:ascii="仿宋" w:eastAsia="仿宋" w:hAnsi="仿宋" w:cs="Arial"/>
                <w:sz w:val="20"/>
                <w:szCs w:val="20"/>
              </w:rPr>
            </w:pPr>
          </w:p>
        </w:tc>
        <w:tc>
          <w:tcPr>
            <w:tcW w:w="6892" w:type="dxa"/>
          </w:tcPr>
          <w:p w:rsidR="00A60648" w:rsidRDefault="005F5AC3">
            <w:pPr>
              <w:jc w:val="center"/>
              <w:rPr>
                <w:rFonts w:ascii="仿宋" w:eastAsia="仿宋" w:hAnsi="仿宋" w:cs="Arial"/>
                <w:sz w:val="20"/>
                <w:szCs w:val="20"/>
              </w:rPr>
            </w:pPr>
            <w:r>
              <w:rPr>
                <w:rFonts w:ascii="仿宋" w:eastAsia="仿宋" w:hAnsi="仿宋" w:cs="Arial"/>
                <w:sz w:val="20"/>
                <w:szCs w:val="20"/>
              </w:rPr>
              <w:t>中国金融账户及其影响初探</w:t>
            </w:r>
          </w:p>
        </w:tc>
      </w:tr>
      <w:tr w:rsidR="00A60648">
        <w:trPr>
          <w:jc w:val="center"/>
        </w:trPr>
        <w:tc>
          <w:tcPr>
            <w:tcW w:w="2300" w:type="dxa"/>
            <w:vMerge/>
          </w:tcPr>
          <w:p w:rsidR="00A60648" w:rsidRDefault="00A60648">
            <w:pPr>
              <w:rPr>
                <w:rFonts w:ascii="仿宋" w:eastAsia="仿宋" w:hAnsi="仿宋" w:cs="Arial"/>
                <w:sz w:val="20"/>
                <w:szCs w:val="20"/>
              </w:rPr>
            </w:pPr>
          </w:p>
        </w:tc>
        <w:tc>
          <w:tcPr>
            <w:tcW w:w="6892" w:type="dxa"/>
          </w:tcPr>
          <w:p w:rsidR="00A60648" w:rsidRDefault="005F5AC3">
            <w:pPr>
              <w:jc w:val="center"/>
              <w:rPr>
                <w:rFonts w:ascii="仿宋" w:eastAsia="仿宋" w:hAnsi="仿宋" w:cs="Arial"/>
                <w:sz w:val="20"/>
                <w:szCs w:val="20"/>
              </w:rPr>
            </w:pPr>
            <w:r>
              <w:rPr>
                <w:rFonts w:ascii="仿宋" w:eastAsia="仿宋" w:hAnsi="仿宋" w:cs="Arial"/>
                <w:sz w:val="20"/>
                <w:szCs w:val="20"/>
              </w:rPr>
              <w:t>全球化背景下对外贸易统计方法的改进</w:t>
            </w:r>
          </w:p>
        </w:tc>
      </w:tr>
      <w:tr w:rsidR="00A60648">
        <w:trPr>
          <w:jc w:val="center"/>
        </w:trPr>
        <w:tc>
          <w:tcPr>
            <w:tcW w:w="2300" w:type="dxa"/>
            <w:vMerge/>
          </w:tcPr>
          <w:p w:rsidR="00A60648" w:rsidRDefault="00A60648">
            <w:pPr>
              <w:rPr>
                <w:rFonts w:ascii="仿宋" w:eastAsia="仿宋" w:hAnsi="仿宋" w:cs="Arial"/>
                <w:sz w:val="20"/>
                <w:szCs w:val="20"/>
              </w:rPr>
            </w:pPr>
          </w:p>
        </w:tc>
        <w:tc>
          <w:tcPr>
            <w:tcW w:w="6892" w:type="dxa"/>
          </w:tcPr>
          <w:p w:rsidR="00A60648" w:rsidRDefault="005F5AC3">
            <w:pPr>
              <w:jc w:val="center"/>
              <w:rPr>
                <w:rFonts w:ascii="仿宋" w:eastAsia="仿宋" w:hAnsi="仿宋" w:cs="Arial"/>
                <w:sz w:val="20"/>
                <w:szCs w:val="20"/>
              </w:rPr>
            </w:pPr>
            <w:r>
              <w:rPr>
                <w:rFonts w:ascii="仿宋" w:eastAsia="仿宋" w:hAnsi="仿宋" w:cs="Arial"/>
                <w:sz w:val="20"/>
                <w:szCs w:val="20"/>
              </w:rPr>
              <w:t>中国外资经济的环境效应分析</w:t>
            </w:r>
          </w:p>
        </w:tc>
      </w:tr>
    </w:tbl>
    <w:p w:rsidR="00A60648" w:rsidRDefault="005F5AC3">
      <w:pPr>
        <w:rPr>
          <w:b/>
          <w:sz w:val="20"/>
          <w:szCs w:val="21"/>
        </w:rPr>
      </w:pPr>
      <w:r>
        <w:rPr>
          <w:rFonts w:hint="eastAsia"/>
          <w:b/>
          <w:sz w:val="20"/>
          <w:szCs w:val="21"/>
        </w:rPr>
        <w:t>注：</w:t>
      </w:r>
      <w:r>
        <w:rPr>
          <w:rFonts w:hint="eastAsia"/>
          <w:b/>
          <w:color w:val="000000"/>
          <w:sz w:val="20"/>
          <w:szCs w:val="20"/>
          <w:shd w:val="clear" w:color="auto" w:fill="FFFFFF"/>
        </w:rPr>
        <w:t>课程设置按当年最新培养方案及教学计划为准。</w:t>
      </w:r>
    </w:p>
    <w:p w:rsidR="00A60648" w:rsidRDefault="00A60648">
      <w:pPr>
        <w:rPr>
          <w:rFonts w:ascii="黑体" w:eastAsia="黑体" w:hAnsi="黑体" w:cs="宋体"/>
          <w:b/>
          <w:bCs/>
          <w:color w:val="444444"/>
          <w:kern w:val="0"/>
          <w:sz w:val="28"/>
          <w:szCs w:val="28"/>
        </w:rPr>
      </w:pPr>
    </w:p>
    <w:p w:rsidR="00A60648" w:rsidRDefault="00A60648">
      <w:pPr>
        <w:rPr>
          <w:rFonts w:ascii="黑体" w:eastAsia="黑体" w:hAnsi="黑体" w:cs="宋体"/>
          <w:b/>
          <w:bCs/>
          <w:color w:val="444444"/>
          <w:kern w:val="0"/>
          <w:sz w:val="28"/>
          <w:szCs w:val="28"/>
        </w:rPr>
      </w:pPr>
    </w:p>
    <w:p w:rsidR="00A60648" w:rsidRDefault="00A60648">
      <w:pPr>
        <w:rPr>
          <w:rFonts w:ascii="黑体" w:eastAsia="黑体" w:hAnsi="黑体" w:cs="宋体"/>
          <w:b/>
          <w:bCs/>
          <w:color w:val="444444"/>
          <w:kern w:val="0"/>
          <w:sz w:val="28"/>
          <w:szCs w:val="28"/>
        </w:rPr>
      </w:pPr>
    </w:p>
    <w:p w:rsidR="00A60648" w:rsidRDefault="00A60648">
      <w:pPr>
        <w:rPr>
          <w:rFonts w:ascii="黑体" w:eastAsia="黑体" w:hAnsi="黑体" w:cs="宋体"/>
          <w:b/>
          <w:bCs/>
          <w:color w:val="444444"/>
          <w:kern w:val="0"/>
          <w:sz w:val="28"/>
          <w:szCs w:val="28"/>
        </w:rPr>
      </w:pPr>
    </w:p>
    <w:p w:rsidR="00A60648" w:rsidRDefault="005F5AC3">
      <w:pPr>
        <w:rPr>
          <w:rFonts w:ascii="黑体" w:eastAsia="黑体" w:hAnsi="黑体" w:cs="宋体"/>
          <w:b/>
          <w:bCs/>
          <w:color w:val="444444"/>
          <w:kern w:val="0"/>
          <w:sz w:val="28"/>
          <w:szCs w:val="28"/>
        </w:rPr>
      </w:pPr>
      <w:r>
        <w:rPr>
          <w:rFonts w:ascii="黑体" w:eastAsia="黑体" w:hAnsi="黑体" w:cs="宋体" w:hint="eastAsia"/>
          <w:b/>
          <w:bCs/>
          <w:color w:val="444444"/>
          <w:kern w:val="0"/>
          <w:sz w:val="28"/>
          <w:szCs w:val="28"/>
        </w:rPr>
        <w:t>四、部分师资介绍</w:t>
      </w:r>
    </w:p>
    <w:tbl>
      <w:tblPr>
        <w:tblW w:w="9360" w:type="dxa"/>
        <w:tblInd w:w="-404"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1560"/>
        <w:gridCol w:w="3954"/>
        <w:gridCol w:w="3846"/>
      </w:tblGrid>
      <w:tr w:rsidR="00A60648">
        <w:tc>
          <w:tcPr>
            <w:tcW w:w="1560" w:type="dxa"/>
            <w:shd w:val="clear" w:color="auto" w:fill="auto"/>
            <w:tcMar>
              <w:top w:w="90" w:type="dxa"/>
              <w:left w:w="45" w:type="dxa"/>
              <w:bottom w:w="90" w:type="dxa"/>
              <w:right w:w="45" w:type="dxa"/>
            </w:tcMar>
            <w:vAlign w:val="center"/>
          </w:tcPr>
          <w:p w:rsidR="00A60648" w:rsidRDefault="005F5AC3">
            <w:pPr>
              <w:jc w:val="center"/>
              <w:rPr>
                <w:b/>
                <w:sz w:val="18"/>
                <w:szCs w:val="20"/>
              </w:rPr>
            </w:pPr>
            <w:r>
              <w:rPr>
                <w:rFonts w:hint="eastAsia"/>
                <w:b/>
                <w:sz w:val="18"/>
                <w:szCs w:val="20"/>
              </w:rPr>
              <w:t>拟授课老师</w:t>
            </w:r>
          </w:p>
        </w:tc>
        <w:tc>
          <w:tcPr>
            <w:tcW w:w="3954" w:type="dxa"/>
            <w:shd w:val="clear" w:color="auto" w:fill="auto"/>
            <w:tcMar>
              <w:top w:w="90" w:type="dxa"/>
              <w:left w:w="45" w:type="dxa"/>
              <w:bottom w:w="90" w:type="dxa"/>
              <w:right w:w="45" w:type="dxa"/>
            </w:tcMar>
            <w:vAlign w:val="center"/>
          </w:tcPr>
          <w:p w:rsidR="00A60648" w:rsidRDefault="005F5AC3">
            <w:pPr>
              <w:widowControl/>
              <w:spacing w:line="270" w:lineRule="atLeast"/>
              <w:jc w:val="center"/>
              <w:rPr>
                <w:b/>
                <w:sz w:val="18"/>
                <w:szCs w:val="20"/>
              </w:rPr>
            </w:pPr>
            <w:r>
              <w:rPr>
                <w:rFonts w:hint="eastAsia"/>
                <w:b/>
                <w:sz w:val="18"/>
                <w:szCs w:val="20"/>
              </w:rPr>
              <w:t>职称（行政兼职）</w:t>
            </w:r>
          </w:p>
        </w:tc>
        <w:tc>
          <w:tcPr>
            <w:tcW w:w="3846" w:type="dxa"/>
            <w:shd w:val="clear" w:color="auto" w:fill="auto"/>
            <w:tcMar>
              <w:top w:w="90" w:type="dxa"/>
              <w:left w:w="45" w:type="dxa"/>
              <w:bottom w:w="90" w:type="dxa"/>
              <w:right w:w="45" w:type="dxa"/>
            </w:tcMar>
            <w:vAlign w:val="center"/>
          </w:tcPr>
          <w:p w:rsidR="00A60648" w:rsidRDefault="005F5AC3">
            <w:pPr>
              <w:widowControl/>
              <w:spacing w:line="270" w:lineRule="atLeast"/>
              <w:jc w:val="center"/>
              <w:rPr>
                <w:b/>
                <w:sz w:val="18"/>
                <w:szCs w:val="20"/>
              </w:rPr>
            </w:pPr>
            <w:r>
              <w:rPr>
                <w:rFonts w:hint="eastAsia"/>
                <w:b/>
                <w:sz w:val="18"/>
                <w:szCs w:val="20"/>
              </w:rPr>
              <w:t>研究方向或领域</w:t>
            </w:r>
          </w:p>
        </w:tc>
      </w:tr>
      <w:tr w:rsidR="00A60648">
        <w:trPr>
          <w:trHeight w:val="1143"/>
        </w:trPr>
        <w:tc>
          <w:tcPr>
            <w:tcW w:w="1560" w:type="dxa"/>
            <w:shd w:val="clear" w:color="auto" w:fill="auto"/>
            <w:tcMar>
              <w:top w:w="90" w:type="dxa"/>
              <w:left w:w="45" w:type="dxa"/>
              <w:bottom w:w="90" w:type="dxa"/>
              <w:right w:w="45" w:type="dxa"/>
            </w:tcMar>
            <w:vAlign w:val="center"/>
          </w:tcPr>
          <w:p w:rsidR="00A60648" w:rsidRDefault="005F5AC3">
            <w:pPr>
              <w:jc w:val="left"/>
              <w:rPr>
                <w:sz w:val="18"/>
                <w:szCs w:val="20"/>
              </w:rPr>
            </w:pPr>
            <w:proofErr w:type="gramStart"/>
            <w:r>
              <w:rPr>
                <w:rFonts w:hint="eastAsia"/>
                <w:sz w:val="18"/>
                <w:szCs w:val="20"/>
              </w:rPr>
              <w:t>袁</w:t>
            </w:r>
            <w:proofErr w:type="gramEnd"/>
            <w:r>
              <w:rPr>
                <w:rFonts w:hint="eastAsia"/>
                <w:sz w:val="18"/>
                <w:szCs w:val="20"/>
              </w:rPr>
              <w:t xml:space="preserve">  </w:t>
            </w:r>
            <w:r>
              <w:rPr>
                <w:rFonts w:hint="eastAsia"/>
                <w:sz w:val="18"/>
                <w:szCs w:val="20"/>
              </w:rPr>
              <w:t>卫</w:t>
            </w:r>
            <w:r>
              <w:rPr>
                <w:rFonts w:hint="eastAsia"/>
                <w:sz w:val="18"/>
                <w:szCs w:val="20"/>
              </w:rPr>
              <w:t> </w:t>
            </w:r>
            <w:r>
              <w:rPr>
                <w:noProof/>
                <w:sz w:val="18"/>
                <w:szCs w:val="20"/>
              </w:rPr>
              <w:drawing>
                <wp:inline distT="0" distB="0" distL="0" distR="0">
                  <wp:extent cx="106680" cy="114300"/>
                  <wp:effectExtent l="0" t="0" r="7620" b="0"/>
                  <wp:docPr id="7" name="图片 7"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954"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教授、博士生导师、中国人民</w:t>
            </w:r>
            <w:proofErr w:type="gramStart"/>
            <w:r>
              <w:rPr>
                <w:rFonts w:hint="eastAsia"/>
                <w:sz w:val="18"/>
                <w:szCs w:val="20"/>
              </w:rPr>
              <w:t>大学常务</w:t>
            </w:r>
            <w:proofErr w:type="gramEnd"/>
            <w:r>
              <w:rPr>
                <w:rFonts w:hint="eastAsia"/>
                <w:sz w:val="18"/>
                <w:szCs w:val="20"/>
              </w:rPr>
              <w:t>副校长、国务院学位委员会应用经济学学科评议组召集人、国务院特殊津贴专家、中国统计教育学会副会长</w:t>
            </w:r>
          </w:p>
        </w:tc>
        <w:tc>
          <w:tcPr>
            <w:tcW w:w="3846"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应用数理统计、风险管理、精算学与保险学等</w:t>
            </w:r>
          </w:p>
        </w:tc>
      </w:tr>
      <w:tr w:rsidR="00A60648">
        <w:tc>
          <w:tcPr>
            <w:tcW w:w="1560"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 </w:t>
            </w:r>
            <w:r>
              <w:rPr>
                <w:rFonts w:hint="eastAsia"/>
                <w:sz w:val="18"/>
                <w:szCs w:val="20"/>
              </w:rPr>
              <w:t>赵彦云</w:t>
            </w:r>
            <w:r>
              <w:rPr>
                <w:noProof/>
                <w:sz w:val="18"/>
                <w:szCs w:val="20"/>
              </w:rPr>
              <w:drawing>
                <wp:inline distT="0" distB="0" distL="0" distR="0">
                  <wp:extent cx="106680" cy="114300"/>
                  <wp:effectExtent l="0" t="0" r="7620" b="0"/>
                  <wp:docPr id="6" name="图片 6"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954"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教授、博士生导师、中国人民大学统计学院院长、中国统计学会副会长、中国国民经济核算研究会副会长、国务院特殊津贴专家</w:t>
            </w:r>
          </w:p>
        </w:tc>
        <w:tc>
          <w:tcPr>
            <w:tcW w:w="3846" w:type="dxa"/>
            <w:shd w:val="clear" w:color="auto" w:fill="auto"/>
            <w:tcMar>
              <w:top w:w="90" w:type="dxa"/>
              <w:left w:w="45" w:type="dxa"/>
              <w:bottom w:w="90" w:type="dxa"/>
              <w:right w:w="45" w:type="dxa"/>
            </w:tcMar>
            <w:vAlign w:val="center"/>
          </w:tcPr>
          <w:p w:rsidR="00A60648" w:rsidRDefault="005F5AC3">
            <w:pPr>
              <w:jc w:val="left"/>
              <w:rPr>
                <w:sz w:val="18"/>
                <w:szCs w:val="20"/>
              </w:rPr>
            </w:pPr>
            <w:r>
              <w:rPr>
                <w:sz w:val="18"/>
                <w:szCs w:val="20"/>
              </w:rPr>
              <w:t>国际竞争力（包括国家竞争力、科技竞争力、企业竞争力、城市竞争力、产业竞争力等）、国民经济核算、宏观经济统计分析、投入产出分析</w:t>
            </w:r>
          </w:p>
        </w:tc>
      </w:tr>
      <w:tr w:rsidR="00A60648">
        <w:trPr>
          <w:trHeight w:val="906"/>
        </w:trPr>
        <w:tc>
          <w:tcPr>
            <w:tcW w:w="1560"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金勇进</w:t>
            </w:r>
            <w:r>
              <w:rPr>
                <w:rFonts w:hint="eastAsia"/>
                <w:sz w:val="18"/>
                <w:szCs w:val="20"/>
              </w:rPr>
              <w:t> </w:t>
            </w:r>
            <w:r>
              <w:rPr>
                <w:noProof/>
                <w:sz w:val="18"/>
                <w:szCs w:val="20"/>
              </w:rPr>
              <w:drawing>
                <wp:inline distT="0" distB="0" distL="0" distR="0">
                  <wp:extent cx="106680" cy="114300"/>
                  <wp:effectExtent l="0" t="0" r="7620" b="0"/>
                  <wp:docPr id="5" name="图片 5"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954"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教授、博士生导师、国际调查统计学家协会会员、中国商业统计学会副会长、高校市场调查与分析研究会会长</w:t>
            </w:r>
          </w:p>
        </w:tc>
        <w:tc>
          <w:tcPr>
            <w:tcW w:w="3846" w:type="dxa"/>
            <w:shd w:val="clear" w:color="auto" w:fill="auto"/>
            <w:tcMar>
              <w:top w:w="90" w:type="dxa"/>
              <w:left w:w="45" w:type="dxa"/>
              <w:bottom w:w="90" w:type="dxa"/>
              <w:right w:w="45" w:type="dxa"/>
            </w:tcMar>
            <w:vAlign w:val="center"/>
          </w:tcPr>
          <w:p w:rsidR="00A60648" w:rsidRDefault="005F5AC3">
            <w:pPr>
              <w:jc w:val="left"/>
              <w:rPr>
                <w:sz w:val="18"/>
                <w:szCs w:val="20"/>
              </w:rPr>
            </w:pPr>
            <w:r>
              <w:rPr>
                <w:rStyle w:val="apple-style-span"/>
                <w:sz w:val="18"/>
                <w:szCs w:val="20"/>
              </w:rPr>
              <w:t>抽样方案设计、</w:t>
            </w:r>
            <w:r>
              <w:rPr>
                <w:rStyle w:val="apple-style-span"/>
                <w:sz w:val="18"/>
                <w:szCs w:val="20"/>
              </w:rPr>
              <w:t xml:space="preserve"> </w:t>
            </w:r>
            <w:r>
              <w:rPr>
                <w:rStyle w:val="apple-style-span"/>
                <w:sz w:val="18"/>
                <w:szCs w:val="20"/>
              </w:rPr>
              <w:t>抽样调查理论与方法、非抽样误差分析、缺失数据处理、市场调查方法与实务</w:t>
            </w:r>
          </w:p>
        </w:tc>
      </w:tr>
      <w:tr w:rsidR="00A60648">
        <w:trPr>
          <w:trHeight w:val="2436"/>
        </w:trPr>
        <w:tc>
          <w:tcPr>
            <w:tcW w:w="1560"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薛薇</w:t>
            </w:r>
            <w:r>
              <w:rPr>
                <w:rFonts w:hint="eastAsia"/>
                <w:sz w:val="18"/>
                <w:szCs w:val="20"/>
              </w:rPr>
              <w:t xml:space="preserve">  </w:t>
            </w:r>
            <w:r>
              <w:rPr>
                <w:noProof/>
                <w:sz w:val="18"/>
                <w:szCs w:val="20"/>
              </w:rPr>
              <w:drawing>
                <wp:inline distT="0" distB="0" distL="0" distR="0">
                  <wp:extent cx="106680" cy="114300"/>
                  <wp:effectExtent l="0" t="0" r="7620" b="0"/>
                  <wp:docPr id="4" name="图片 4"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954"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副教授、经济学博士、中国人民大学应用统计科学研究中心副主任、美国莱斯大学访问学者、北京市统计学会理事</w:t>
            </w:r>
          </w:p>
        </w:tc>
        <w:tc>
          <w:tcPr>
            <w:tcW w:w="3846"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数据挖掘和复杂网络建模，关注统计和数据挖掘软件应用，统计数据库系统研发等方面。涉足交通、金融、贸易等复杂网络动态建模，电商数据分析，网络新媒体舆论传播和热点事件预测建模，政府和官方微博、学科学术热点跟踪等文本挖掘，以及社会网络分析和以数据挖掘为依托的客户关系管理等领域。</w:t>
            </w:r>
          </w:p>
        </w:tc>
      </w:tr>
      <w:tr w:rsidR="00A60648">
        <w:tc>
          <w:tcPr>
            <w:tcW w:w="1560"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张</w:t>
            </w:r>
            <w:r>
              <w:rPr>
                <w:rFonts w:hint="eastAsia"/>
                <w:sz w:val="18"/>
                <w:szCs w:val="20"/>
              </w:rPr>
              <w:t xml:space="preserve">  </w:t>
            </w:r>
            <w:r>
              <w:rPr>
                <w:rFonts w:hint="eastAsia"/>
                <w:sz w:val="18"/>
                <w:szCs w:val="20"/>
              </w:rPr>
              <w:t>波</w:t>
            </w:r>
            <w:r>
              <w:rPr>
                <w:rFonts w:hint="eastAsia"/>
                <w:sz w:val="18"/>
                <w:szCs w:val="20"/>
              </w:rPr>
              <w:t> </w:t>
            </w:r>
            <w:r>
              <w:rPr>
                <w:noProof/>
                <w:sz w:val="18"/>
                <w:szCs w:val="20"/>
              </w:rPr>
              <w:drawing>
                <wp:inline distT="0" distB="0" distL="0" distR="0">
                  <wp:extent cx="106680" cy="114300"/>
                  <wp:effectExtent l="0" t="0" r="7620" b="0"/>
                  <wp:docPr id="3" name="图片 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954" w:type="dxa"/>
            <w:shd w:val="clear" w:color="auto" w:fill="auto"/>
            <w:tcMar>
              <w:top w:w="90" w:type="dxa"/>
              <w:left w:w="45" w:type="dxa"/>
              <w:bottom w:w="90" w:type="dxa"/>
              <w:right w:w="45" w:type="dxa"/>
            </w:tcMar>
            <w:vAlign w:val="center"/>
          </w:tcPr>
          <w:p w:rsidR="00A60648" w:rsidRDefault="005F5AC3">
            <w:pPr>
              <w:jc w:val="left"/>
              <w:rPr>
                <w:sz w:val="18"/>
                <w:szCs w:val="20"/>
              </w:rPr>
            </w:pPr>
            <w:r>
              <w:rPr>
                <w:rFonts w:hint="eastAsia"/>
                <w:sz w:val="18"/>
                <w:szCs w:val="20"/>
              </w:rPr>
              <w:t>教授、博士生导师、中国人民大学统计学院副院长、中国人民大学概率论与数理统计研究所所长</w:t>
            </w:r>
          </w:p>
        </w:tc>
        <w:tc>
          <w:tcPr>
            <w:tcW w:w="3846" w:type="dxa"/>
            <w:shd w:val="clear" w:color="auto" w:fill="auto"/>
            <w:tcMar>
              <w:top w:w="90" w:type="dxa"/>
              <w:left w:w="45" w:type="dxa"/>
              <w:bottom w:w="90" w:type="dxa"/>
              <w:right w:w="45" w:type="dxa"/>
            </w:tcMar>
            <w:vAlign w:val="center"/>
          </w:tcPr>
          <w:p w:rsidR="00A60648" w:rsidRDefault="005F5AC3">
            <w:pPr>
              <w:jc w:val="left"/>
              <w:rPr>
                <w:sz w:val="18"/>
                <w:szCs w:val="20"/>
              </w:rPr>
            </w:pPr>
            <w:r>
              <w:rPr>
                <w:sz w:val="18"/>
                <w:szCs w:val="20"/>
              </w:rPr>
              <w:t>金融经济学、数学分析、实变函数论、泛函分析</w:t>
            </w:r>
            <w:r>
              <w:rPr>
                <w:rFonts w:hint="eastAsia"/>
                <w:sz w:val="18"/>
                <w:szCs w:val="20"/>
              </w:rPr>
              <w:t>、</w:t>
            </w:r>
            <w:r>
              <w:rPr>
                <w:sz w:val="18"/>
                <w:szCs w:val="20"/>
              </w:rPr>
              <w:t>概率论、数理统计、高等数理统计、高等概率论、测度论、随机分析、随机过程、随机微分方程</w:t>
            </w:r>
            <w:r>
              <w:rPr>
                <w:rFonts w:hint="eastAsia"/>
                <w:sz w:val="18"/>
                <w:szCs w:val="20"/>
              </w:rPr>
              <w:t>等</w:t>
            </w:r>
          </w:p>
        </w:tc>
      </w:tr>
    </w:tbl>
    <w:p w:rsidR="00A60648" w:rsidRDefault="005F5AC3">
      <w:pPr>
        <w:ind w:left="11" w:hangingChars="4" w:hanging="11"/>
        <w:rPr>
          <w:rFonts w:ascii="黑体" w:eastAsia="黑体" w:hAnsi="黑体" w:cs="宋体"/>
          <w:b/>
          <w:bCs/>
          <w:color w:val="444444"/>
          <w:kern w:val="0"/>
          <w:sz w:val="28"/>
          <w:szCs w:val="28"/>
        </w:rPr>
      </w:pPr>
      <w:r>
        <w:rPr>
          <w:rFonts w:ascii="黑体" w:eastAsia="黑体" w:hAnsi="黑体" w:cs="宋体" w:hint="eastAsia"/>
          <w:b/>
          <w:bCs/>
          <w:color w:val="444444"/>
          <w:kern w:val="0"/>
          <w:sz w:val="28"/>
          <w:szCs w:val="28"/>
        </w:rPr>
        <w:t>五、培养方式</w:t>
      </w:r>
    </w:p>
    <w:p w:rsidR="00A60648" w:rsidRDefault="005F5AC3" w:rsidP="00937D7A">
      <w:pPr>
        <w:ind w:leftChars="170" w:left="367" w:hangingChars="4" w:hanging="1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1</w:t>
      </w:r>
      <w:r>
        <w:rPr>
          <w:rFonts w:asciiTheme="majorEastAsia" w:eastAsiaTheme="majorEastAsia" w:hAnsiTheme="majorEastAsia" w:cs="Arial" w:hint="eastAsia"/>
          <w:sz w:val="24"/>
          <w:szCs w:val="24"/>
        </w:rPr>
        <w:t>、学制：课程研修班学制两年，采取面授与自学相结合的方式。</w:t>
      </w:r>
      <w:r>
        <w:rPr>
          <w:rFonts w:asciiTheme="majorEastAsia" w:eastAsiaTheme="majorEastAsia" w:hAnsiTheme="majorEastAsia" w:cs="Arial" w:hint="eastAsia"/>
          <w:sz w:val="24"/>
          <w:szCs w:val="24"/>
        </w:rPr>
        <w:t xml:space="preserve"> </w:t>
      </w:r>
      <w:r>
        <w:rPr>
          <w:rFonts w:asciiTheme="majorEastAsia" w:eastAsiaTheme="majorEastAsia" w:hAnsiTheme="majorEastAsia" w:cs="Arial" w:hint="eastAsia"/>
          <w:sz w:val="24"/>
          <w:szCs w:val="24"/>
        </w:rPr>
        <w:br/>
        <w:t>2</w:t>
      </w:r>
      <w:r>
        <w:rPr>
          <w:rFonts w:asciiTheme="majorEastAsia" w:eastAsiaTheme="majorEastAsia" w:hAnsiTheme="majorEastAsia" w:cs="Arial" w:hint="eastAsia"/>
          <w:sz w:val="24"/>
          <w:szCs w:val="24"/>
        </w:rPr>
        <w:t>、考试：国家统考每年一次，学校题库考试每年两次，学院非题库考试统一安排。</w:t>
      </w:r>
      <w:r>
        <w:rPr>
          <w:rFonts w:asciiTheme="majorEastAsia" w:eastAsiaTheme="majorEastAsia" w:hAnsiTheme="majorEastAsia" w:cs="Arial" w:hint="eastAsia"/>
          <w:sz w:val="24"/>
          <w:szCs w:val="24"/>
        </w:rPr>
        <w:br/>
        <w:t>3</w:t>
      </w:r>
      <w:r>
        <w:rPr>
          <w:rFonts w:asciiTheme="majorEastAsia" w:eastAsiaTheme="majorEastAsia" w:hAnsiTheme="majorEastAsia" w:cs="Arial" w:hint="eastAsia"/>
          <w:sz w:val="24"/>
          <w:szCs w:val="24"/>
        </w:rPr>
        <w:t>、上课时间：每月隔周上课，周六、日连续，上课时间上午</w:t>
      </w:r>
      <w:r>
        <w:rPr>
          <w:rFonts w:asciiTheme="majorEastAsia" w:eastAsiaTheme="majorEastAsia" w:hAnsiTheme="majorEastAsia" w:cs="Arial" w:hint="eastAsia"/>
          <w:sz w:val="24"/>
          <w:szCs w:val="24"/>
        </w:rPr>
        <w:t>9</w:t>
      </w:r>
      <w:r>
        <w:rPr>
          <w:rFonts w:asciiTheme="majorEastAsia" w:eastAsiaTheme="majorEastAsia" w:hAnsiTheme="majorEastAsia" w:cs="Arial" w:hint="eastAsia"/>
          <w:sz w:val="24"/>
          <w:szCs w:val="24"/>
        </w:rPr>
        <w:t>点—下午</w:t>
      </w:r>
      <w:r>
        <w:rPr>
          <w:rFonts w:asciiTheme="majorEastAsia" w:eastAsiaTheme="majorEastAsia" w:hAnsiTheme="majorEastAsia" w:cs="Arial" w:hint="eastAsia"/>
          <w:sz w:val="24"/>
          <w:szCs w:val="24"/>
        </w:rPr>
        <w:t>4</w:t>
      </w:r>
      <w:r>
        <w:rPr>
          <w:rFonts w:asciiTheme="majorEastAsia" w:eastAsiaTheme="majorEastAsia" w:hAnsiTheme="majorEastAsia" w:cs="Arial" w:hint="eastAsia"/>
          <w:sz w:val="24"/>
          <w:szCs w:val="24"/>
        </w:rPr>
        <w:t>点（午休时间为</w:t>
      </w:r>
      <w:r>
        <w:rPr>
          <w:rFonts w:asciiTheme="majorEastAsia" w:eastAsiaTheme="majorEastAsia" w:hAnsiTheme="majorEastAsia" w:cs="Arial" w:hint="eastAsia"/>
          <w:sz w:val="24"/>
          <w:szCs w:val="24"/>
        </w:rPr>
        <w:t>1.5</w:t>
      </w:r>
      <w:r>
        <w:rPr>
          <w:rFonts w:asciiTheme="majorEastAsia" w:eastAsiaTheme="majorEastAsia" w:hAnsiTheme="majorEastAsia" w:cs="Arial" w:hint="eastAsia"/>
          <w:sz w:val="24"/>
          <w:szCs w:val="24"/>
        </w:rPr>
        <w:t>小时）。</w:t>
      </w:r>
    </w:p>
    <w:p w:rsidR="00A60648" w:rsidRPr="00937D7A" w:rsidRDefault="005F5AC3" w:rsidP="00937D7A">
      <w:pPr>
        <w:ind w:leftChars="170" w:left="367" w:hangingChars="4" w:hanging="10"/>
        <w:rPr>
          <w:rFonts w:asciiTheme="majorEastAsia" w:eastAsiaTheme="majorEastAsia" w:hAnsiTheme="majorEastAsia" w:cs="Arial"/>
          <w:sz w:val="24"/>
          <w:szCs w:val="24"/>
          <w14:textFill>
            <w14:solidFill>
              <w14:srgbClr w14:val="000000">
                <w14:lumMod w14:val="60000"/>
                <w14:lumOff w14:val="40000"/>
              </w14:srgbClr>
            </w14:solidFill>
          </w14:textFill>
        </w:rPr>
      </w:pPr>
      <w:r>
        <w:rPr>
          <w:rFonts w:asciiTheme="majorEastAsia" w:eastAsiaTheme="majorEastAsia" w:hAnsiTheme="majorEastAsia" w:cs="Arial" w:hint="eastAsia"/>
          <w:sz w:val="24"/>
          <w:szCs w:val="24"/>
        </w:rPr>
        <w:t>4</w:t>
      </w:r>
      <w:r>
        <w:rPr>
          <w:rFonts w:asciiTheme="majorEastAsia" w:eastAsiaTheme="majorEastAsia" w:hAnsiTheme="majorEastAsia" w:cs="Arial" w:hint="eastAsia"/>
          <w:sz w:val="24"/>
          <w:szCs w:val="24"/>
        </w:rPr>
        <w:t>、考试资格：学士学位满三年后，可申请申硕办理考试资格证。</w:t>
      </w:r>
      <w:r>
        <w:rPr>
          <w:rFonts w:asciiTheme="majorEastAsia" w:eastAsiaTheme="majorEastAsia" w:hAnsiTheme="majorEastAsia" w:cs="Arial" w:hint="eastAsia"/>
          <w:sz w:val="24"/>
          <w:szCs w:val="24"/>
        </w:rPr>
        <w:t xml:space="preserve"> </w:t>
      </w:r>
    </w:p>
    <w:p w:rsidR="00A60648" w:rsidRDefault="005F5AC3">
      <w:pPr>
        <w:ind w:leftChars="70" w:left="158" w:hangingChars="4" w:hanging="11"/>
        <w:jc w:val="left"/>
        <w:rPr>
          <w:rFonts w:ascii="黑体" w:eastAsia="黑体" w:hAnsi="黑体" w:cs="宋体"/>
          <w:b/>
          <w:bCs/>
          <w:color w:val="444444"/>
          <w:kern w:val="0"/>
          <w:sz w:val="28"/>
          <w:szCs w:val="28"/>
        </w:rPr>
      </w:pPr>
      <w:r>
        <w:rPr>
          <w:rFonts w:ascii="黑体" w:eastAsia="黑体" w:hAnsi="黑体" w:cs="宋体" w:hint="eastAsia"/>
          <w:b/>
          <w:bCs/>
          <w:color w:val="444444"/>
          <w:kern w:val="0"/>
          <w:sz w:val="28"/>
          <w:szCs w:val="28"/>
        </w:rPr>
        <w:t>七、报名条件</w:t>
      </w:r>
    </w:p>
    <w:p w:rsidR="00A60648" w:rsidRDefault="005F5AC3">
      <w:pPr>
        <w:ind w:firstLineChars="100" w:firstLine="24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、遵纪守法，品行端正，身体健康，能坚持在职学习者；</w:t>
      </w:r>
      <w:r>
        <w:rPr>
          <w:rFonts w:ascii="仿宋" w:eastAsia="仿宋" w:hAnsi="仿宋" w:hint="eastAsia"/>
          <w:sz w:val="24"/>
          <w:szCs w:val="24"/>
        </w:rPr>
        <w:t xml:space="preserve"> </w:t>
      </w:r>
    </w:p>
    <w:p w:rsidR="00A60648" w:rsidRDefault="005F5AC3">
      <w:pPr>
        <w:ind w:firstLineChars="100" w:firstLine="24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、受教育背景，符合下列条件之一者：</w:t>
      </w:r>
      <w:r>
        <w:rPr>
          <w:rFonts w:ascii="仿宋" w:eastAsia="仿宋" w:hAnsi="仿宋" w:hint="eastAsia"/>
          <w:sz w:val="24"/>
          <w:szCs w:val="24"/>
        </w:rPr>
        <w:t xml:space="preserve"> </w:t>
      </w:r>
    </w:p>
    <w:p w:rsidR="00A60648" w:rsidRDefault="005F5AC3">
      <w:pPr>
        <w:ind w:firstLineChars="200" w:firstLine="480"/>
        <w:rPr>
          <w:rFonts w:ascii="仿宋" w:eastAsia="仿宋" w:hAnsi="仿宋"/>
          <w:sz w:val="24"/>
          <w:szCs w:val="24"/>
        </w:rPr>
      </w:pPr>
      <w:r>
        <w:rPr>
          <w:rFonts w:ascii="仿宋" w:eastAsia="仿宋" w:hAnsi="仿宋" w:hint="eastAsia"/>
          <w:color w:val="FF0000"/>
          <w:sz w:val="24"/>
          <w:szCs w:val="24"/>
        </w:rPr>
        <w:lastRenderedPageBreak/>
        <w:t>☆</w:t>
      </w:r>
      <w:r>
        <w:rPr>
          <w:rFonts w:ascii="仿宋" w:eastAsia="仿宋" w:hAnsi="仿宋" w:hint="eastAsia"/>
          <w:sz w:val="24"/>
          <w:szCs w:val="24"/>
        </w:rPr>
        <w:t>大学本科毕业，并获得学士学位者，符合申硕同学入学要求。</w:t>
      </w:r>
      <w:r>
        <w:rPr>
          <w:rFonts w:ascii="仿宋" w:eastAsia="仿宋" w:hAnsi="仿宋" w:hint="eastAsia"/>
          <w:sz w:val="24"/>
          <w:szCs w:val="24"/>
        </w:rPr>
        <w:t xml:space="preserve"> </w:t>
      </w:r>
    </w:p>
    <w:p w:rsidR="00A60648" w:rsidRDefault="005F5AC3">
      <w:pPr>
        <w:ind w:firstLineChars="200" w:firstLine="480"/>
        <w:rPr>
          <w:rFonts w:ascii="仿宋" w:eastAsia="仿宋" w:hAnsi="仿宋"/>
          <w:sz w:val="24"/>
          <w:szCs w:val="24"/>
        </w:rPr>
      </w:pPr>
      <w:r>
        <w:rPr>
          <w:rFonts w:ascii="仿宋" w:eastAsia="仿宋" w:hAnsi="仿宋" w:hint="eastAsia"/>
          <w:color w:val="FF0000"/>
          <w:sz w:val="24"/>
          <w:szCs w:val="24"/>
        </w:rPr>
        <w:t>☆</w:t>
      </w:r>
      <w:r>
        <w:rPr>
          <w:rFonts w:ascii="仿宋" w:eastAsia="仿宋" w:hAnsi="仿宋" w:hint="eastAsia"/>
          <w:sz w:val="24"/>
          <w:szCs w:val="24"/>
        </w:rPr>
        <w:t>大学本科毕业，并获得学士学位满三年以上，进校当年可进行同等学力申硕；</w:t>
      </w:r>
      <w:r>
        <w:rPr>
          <w:rFonts w:ascii="仿宋" w:eastAsia="仿宋" w:hAnsi="仿宋" w:hint="eastAsia"/>
          <w:sz w:val="24"/>
          <w:szCs w:val="24"/>
        </w:rPr>
        <w:t xml:space="preserve"> </w:t>
      </w:r>
    </w:p>
    <w:p w:rsidR="00A60648" w:rsidRDefault="005F5AC3">
      <w:pPr>
        <w:ind w:firstLineChars="200" w:firstLine="480"/>
        <w:rPr>
          <w:rFonts w:ascii="仿宋" w:eastAsia="仿宋" w:hAnsi="仿宋"/>
          <w:sz w:val="24"/>
          <w:szCs w:val="24"/>
        </w:rPr>
      </w:pPr>
      <w:r>
        <w:rPr>
          <w:rFonts w:ascii="仿宋" w:eastAsia="仿宋" w:hAnsi="仿宋" w:hint="eastAsia"/>
          <w:color w:val="FF0000"/>
          <w:sz w:val="24"/>
          <w:szCs w:val="24"/>
        </w:rPr>
        <w:t>☆</w:t>
      </w:r>
      <w:r>
        <w:rPr>
          <w:rFonts w:ascii="仿宋" w:eastAsia="仿宋" w:hAnsi="仿宋" w:hint="eastAsia"/>
          <w:sz w:val="24"/>
          <w:szCs w:val="24"/>
        </w:rPr>
        <w:t>大专学历，旨在提高本人业务素质，也可参加研修班课程的学习。</w:t>
      </w:r>
    </w:p>
    <w:p w:rsidR="00A60648" w:rsidRDefault="005F5AC3">
      <w:pPr>
        <w:rPr>
          <w:rFonts w:ascii="黑体" w:eastAsia="黑体" w:hAnsi="黑体" w:cs="宋体"/>
          <w:b/>
          <w:bCs/>
          <w:color w:val="444444"/>
          <w:kern w:val="0"/>
          <w:sz w:val="28"/>
          <w:szCs w:val="28"/>
        </w:rPr>
      </w:pPr>
      <w:r>
        <w:rPr>
          <w:rFonts w:ascii="黑体" w:eastAsia="黑体" w:hAnsi="黑体" w:cs="宋体" w:hint="eastAsia"/>
          <w:b/>
          <w:bCs/>
          <w:color w:val="444444"/>
          <w:kern w:val="0"/>
          <w:sz w:val="28"/>
          <w:szCs w:val="28"/>
        </w:rPr>
        <w:t>八、报名办法</w:t>
      </w:r>
    </w:p>
    <w:p w:rsidR="00A60648" w:rsidRDefault="005F5AC3">
      <w:pPr>
        <w:ind w:firstLineChars="100" w:firstLine="24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到报名地点注册，登记报名。</w:t>
      </w:r>
    </w:p>
    <w:p w:rsidR="00A60648" w:rsidRDefault="005F5AC3">
      <w:pPr>
        <w:ind w:firstLineChars="100" w:firstLine="24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填写在职人员在职课程研修班报名登记表。</w:t>
      </w:r>
    </w:p>
    <w:p w:rsidR="00A60648" w:rsidRDefault="005F5AC3">
      <w:pPr>
        <w:ind w:firstLineChars="100" w:firstLine="24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本人最后毕业证、学位证、身份证三个证书复印件。</w:t>
      </w:r>
    </w:p>
    <w:p w:rsidR="00A60648" w:rsidRDefault="005F5AC3">
      <w:pPr>
        <w:ind w:firstLineChars="100" w:firstLine="240"/>
        <w:rPr>
          <w:rFonts w:ascii="仿宋" w:eastAsia="仿宋" w:hAnsi="仿宋"/>
          <w:sz w:val="24"/>
          <w:szCs w:val="24"/>
        </w:rPr>
      </w:pPr>
      <w:r>
        <w:rPr>
          <w:rFonts w:ascii="仿宋" w:eastAsia="仿宋" w:hAnsi="仿宋" w:hint="eastAsia"/>
          <w:sz w:val="24"/>
          <w:szCs w:val="24"/>
        </w:rPr>
        <w:t>(4)2</w:t>
      </w:r>
      <w:r>
        <w:rPr>
          <w:rFonts w:ascii="仿宋" w:eastAsia="仿宋" w:hAnsi="仿宋" w:hint="eastAsia"/>
          <w:sz w:val="24"/>
          <w:szCs w:val="24"/>
        </w:rPr>
        <w:t>寸同底彩色证件照</w:t>
      </w:r>
      <w:r>
        <w:rPr>
          <w:rFonts w:ascii="仿宋" w:eastAsia="仿宋" w:hAnsi="仿宋" w:hint="eastAsia"/>
          <w:sz w:val="24"/>
          <w:szCs w:val="24"/>
        </w:rPr>
        <w:t>4</w:t>
      </w:r>
      <w:r>
        <w:rPr>
          <w:rFonts w:ascii="仿宋" w:eastAsia="仿宋" w:hAnsi="仿宋" w:hint="eastAsia"/>
          <w:sz w:val="24"/>
          <w:szCs w:val="24"/>
        </w:rPr>
        <w:t>张。</w:t>
      </w:r>
    </w:p>
    <w:p w:rsidR="00A60648" w:rsidRDefault="005F5AC3">
      <w:pPr>
        <w:rPr>
          <w:rFonts w:ascii="黑体" w:eastAsia="黑体" w:hAnsi="黑体" w:cs="宋体"/>
          <w:b/>
          <w:bCs/>
          <w:color w:val="444444"/>
          <w:kern w:val="0"/>
          <w:sz w:val="28"/>
          <w:szCs w:val="28"/>
        </w:rPr>
      </w:pPr>
      <w:r>
        <w:rPr>
          <w:rFonts w:ascii="黑体" w:eastAsia="黑体" w:hAnsi="黑体" w:cs="宋体" w:hint="eastAsia"/>
          <w:b/>
          <w:bCs/>
          <w:color w:val="444444"/>
          <w:kern w:val="0"/>
          <w:sz w:val="28"/>
          <w:szCs w:val="28"/>
        </w:rPr>
        <w:t>九、收费标准</w:t>
      </w:r>
    </w:p>
    <w:p w:rsidR="00A60648" w:rsidRDefault="005F5AC3">
      <w:pPr>
        <w:ind w:firstLineChars="200" w:firstLine="480"/>
        <w:rPr>
          <w:rFonts w:ascii="仿宋" w:eastAsia="仿宋" w:hAnsi="仿宋"/>
          <w:sz w:val="24"/>
          <w:szCs w:val="24"/>
        </w:rPr>
      </w:pPr>
      <w:r>
        <w:rPr>
          <w:rFonts w:ascii="仿宋" w:eastAsia="仿宋" w:hAnsi="仿宋" w:hint="eastAsia"/>
          <w:sz w:val="24"/>
          <w:szCs w:val="24"/>
        </w:rPr>
        <w:t>学费</w:t>
      </w:r>
      <w:r>
        <w:rPr>
          <w:rFonts w:ascii="仿宋" w:eastAsia="仿宋" w:hAnsi="仿宋" w:hint="eastAsia"/>
          <w:b/>
          <w:color w:val="C00000"/>
          <w:sz w:val="24"/>
          <w:szCs w:val="24"/>
        </w:rPr>
        <w:t>33</w:t>
      </w:r>
      <w:r>
        <w:rPr>
          <w:rFonts w:ascii="仿宋" w:eastAsia="仿宋" w:hAnsi="仿宋" w:hint="eastAsia"/>
          <w:b/>
          <w:color w:val="C00000"/>
          <w:sz w:val="24"/>
          <w:szCs w:val="24"/>
        </w:rPr>
        <w:t>000</w:t>
      </w:r>
      <w:r>
        <w:rPr>
          <w:rFonts w:ascii="仿宋" w:eastAsia="仿宋" w:hAnsi="仿宋" w:hint="eastAsia"/>
          <w:b/>
          <w:color w:val="C00000"/>
          <w:sz w:val="24"/>
          <w:szCs w:val="24"/>
        </w:rPr>
        <w:t>元</w:t>
      </w:r>
      <w:r>
        <w:rPr>
          <w:rFonts w:ascii="仿宋" w:eastAsia="仿宋" w:hAnsi="仿宋" w:hint="eastAsia"/>
          <w:b/>
          <w:color w:val="C00000"/>
          <w:sz w:val="24"/>
          <w:szCs w:val="24"/>
        </w:rPr>
        <w:t>(</w:t>
      </w:r>
      <w:r>
        <w:rPr>
          <w:rFonts w:ascii="仿宋" w:eastAsia="仿宋" w:hAnsi="仿宋" w:hint="eastAsia"/>
          <w:b/>
          <w:color w:val="C00000"/>
          <w:sz w:val="24"/>
          <w:szCs w:val="24"/>
        </w:rPr>
        <w:t>两年</w:t>
      </w:r>
      <w:r>
        <w:rPr>
          <w:rFonts w:ascii="仿宋" w:eastAsia="仿宋" w:hAnsi="仿宋" w:hint="eastAsia"/>
          <w:b/>
          <w:color w:val="C00000"/>
          <w:sz w:val="24"/>
          <w:szCs w:val="24"/>
        </w:rPr>
        <w:t>)</w:t>
      </w:r>
      <w:r>
        <w:rPr>
          <w:rFonts w:ascii="仿宋" w:eastAsia="仿宋" w:hAnsi="仿宋" w:hint="eastAsia"/>
          <w:sz w:val="24"/>
          <w:szCs w:val="24"/>
        </w:rPr>
        <w:t>，书费、资料费自理。学费一次性交清。开学后，学员因故不能坚持研修学习，视作自动放弃学习，不退研修班学费。</w:t>
      </w:r>
    </w:p>
    <w:p w:rsidR="00A60648" w:rsidRDefault="005F5AC3">
      <w:pPr>
        <w:ind w:firstLineChars="100" w:firstLine="240"/>
        <w:rPr>
          <w:rFonts w:ascii="仿宋" w:eastAsia="仿宋" w:hAnsi="仿宋"/>
          <w:sz w:val="24"/>
          <w:szCs w:val="24"/>
        </w:rPr>
      </w:pPr>
      <w:r>
        <w:rPr>
          <w:rFonts w:ascii="仿宋" w:eastAsia="仿宋" w:hAnsi="仿宋" w:hint="eastAsia"/>
          <w:sz w:val="24"/>
          <w:szCs w:val="24"/>
        </w:rPr>
        <w:t>申请硕士学位者，学位课程考试费及论文指导费、论文答辩费等按中国人民大学有关收费标准另行交纳。</w:t>
      </w:r>
    </w:p>
    <w:p w:rsidR="00A60648" w:rsidRDefault="005F5AC3">
      <w:pPr>
        <w:rPr>
          <w:rFonts w:ascii="黑体" w:eastAsia="黑体" w:hAnsi="黑体" w:cs="宋体"/>
          <w:b/>
          <w:bCs/>
          <w:color w:val="444444"/>
          <w:kern w:val="0"/>
          <w:sz w:val="28"/>
          <w:szCs w:val="28"/>
        </w:rPr>
      </w:pPr>
      <w:r>
        <w:rPr>
          <w:rFonts w:ascii="黑体" w:eastAsia="黑体" w:hAnsi="黑体" w:cs="宋体" w:hint="eastAsia"/>
          <w:b/>
          <w:bCs/>
          <w:color w:val="444444"/>
          <w:kern w:val="0"/>
          <w:sz w:val="28"/>
          <w:szCs w:val="28"/>
        </w:rPr>
        <w:t>十、证书</w:t>
      </w:r>
    </w:p>
    <w:p w:rsidR="00A60648" w:rsidRDefault="005F5AC3">
      <w:pPr>
        <w:rPr>
          <w:rFonts w:ascii="仿宋" w:eastAsia="仿宋" w:hAnsi="仿宋"/>
          <w:sz w:val="24"/>
          <w:szCs w:val="24"/>
        </w:rPr>
      </w:pPr>
      <w:r>
        <w:rPr>
          <w:rFonts w:ascii="仿宋" w:eastAsia="仿宋" w:hAnsi="仿宋"/>
          <w:sz w:val="24"/>
          <w:szCs w:val="24"/>
        </w:rPr>
        <w:t>1</w:t>
      </w:r>
      <w:r>
        <w:rPr>
          <w:rFonts w:ascii="仿宋" w:eastAsia="仿宋" w:hAnsi="仿宋"/>
          <w:sz w:val="24"/>
          <w:szCs w:val="24"/>
        </w:rPr>
        <w:t>、学员完成课程设置中所</w:t>
      </w:r>
      <w:r>
        <w:rPr>
          <w:rFonts w:ascii="仿宋" w:eastAsia="仿宋" w:hAnsi="仿宋"/>
          <w:sz w:val="24"/>
          <w:szCs w:val="24"/>
        </w:rPr>
        <w:t>规定的课程并考试（考核）成绩合格者即可结业。</w:t>
      </w:r>
      <w:r>
        <w:rPr>
          <w:rFonts w:ascii="仿宋" w:eastAsia="仿宋" w:hAnsi="仿宋"/>
          <w:sz w:val="24"/>
          <w:szCs w:val="24"/>
        </w:rPr>
        <w:br/>
        <w:t>2</w:t>
      </w:r>
      <w:r>
        <w:rPr>
          <w:rFonts w:ascii="仿宋" w:eastAsia="仿宋" w:hAnsi="仿宋"/>
          <w:sz w:val="24"/>
          <w:szCs w:val="24"/>
        </w:rPr>
        <w:t>、结业学员获</w:t>
      </w:r>
      <w:r>
        <w:rPr>
          <w:rFonts w:ascii="仿宋" w:eastAsia="仿宋" w:hAnsi="仿宋" w:hint="eastAsia"/>
          <w:sz w:val="24"/>
          <w:szCs w:val="24"/>
        </w:rPr>
        <w:t>得</w:t>
      </w:r>
      <w:r>
        <w:rPr>
          <w:rFonts w:ascii="仿宋" w:eastAsia="仿宋" w:hAnsi="仿宋"/>
          <w:sz w:val="24"/>
          <w:szCs w:val="24"/>
        </w:rPr>
        <w:t>《</w:t>
      </w:r>
      <w:r>
        <w:rPr>
          <w:rFonts w:ascii="仿宋" w:eastAsia="仿宋" w:hAnsi="仿宋" w:hint="eastAsia"/>
          <w:sz w:val="24"/>
          <w:szCs w:val="24"/>
        </w:rPr>
        <w:t>中国人民</w:t>
      </w:r>
      <w:r>
        <w:rPr>
          <w:rFonts w:ascii="仿宋" w:eastAsia="仿宋" w:hAnsi="仿宋"/>
          <w:sz w:val="24"/>
          <w:szCs w:val="24"/>
        </w:rPr>
        <w:t>大学研修班</w:t>
      </w:r>
      <w:r>
        <w:rPr>
          <w:rFonts w:ascii="仿宋" w:eastAsia="仿宋" w:hAnsi="仿宋" w:hint="eastAsia"/>
          <w:b/>
          <w:color w:val="C00000"/>
          <w:sz w:val="24"/>
          <w:szCs w:val="24"/>
        </w:rPr>
        <w:t>结业证书</w:t>
      </w:r>
      <w:r>
        <w:rPr>
          <w:rFonts w:ascii="仿宋" w:eastAsia="仿宋" w:hAnsi="仿宋"/>
          <w:sz w:val="24"/>
          <w:szCs w:val="24"/>
        </w:rPr>
        <w:t>》。</w:t>
      </w:r>
      <w:r>
        <w:rPr>
          <w:rFonts w:ascii="仿宋" w:eastAsia="仿宋" w:hAnsi="仿宋"/>
          <w:sz w:val="24"/>
          <w:szCs w:val="24"/>
        </w:rPr>
        <w:br/>
        <w:t>3</w:t>
      </w:r>
      <w:r>
        <w:rPr>
          <w:rFonts w:ascii="仿宋" w:eastAsia="仿宋" w:hAnsi="仿宋"/>
          <w:sz w:val="24"/>
          <w:szCs w:val="24"/>
        </w:rPr>
        <w:t>、符合申请硕士学位条件的学员可按我校有关规定申请</w:t>
      </w:r>
      <w:r>
        <w:rPr>
          <w:rFonts w:ascii="仿宋" w:eastAsia="仿宋" w:hAnsi="仿宋" w:hint="eastAsia"/>
          <w:sz w:val="24"/>
          <w:szCs w:val="24"/>
        </w:rPr>
        <w:t>中国人民大学</w:t>
      </w:r>
      <w:r>
        <w:rPr>
          <w:rFonts w:ascii="仿宋" w:eastAsia="仿宋" w:hAnsi="仿宋" w:hint="eastAsia"/>
          <w:b/>
          <w:color w:val="C00000"/>
          <w:sz w:val="24"/>
          <w:szCs w:val="24"/>
        </w:rPr>
        <w:t>经济学硕士</w:t>
      </w:r>
      <w:r>
        <w:rPr>
          <w:rFonts w:ascii="仿宋" w:eastAsia="仿宋" w:hAnsi="仿宋"/>
          <w:sz w:val="24"/>
          <w:szCs w:val="24"/>
        </w:rPr>
        <w:t>学位。</w:t>
      </w:r>
    </w:p>
    <w:p w:rsidR="00A60648" w:rsidRDefault="005F5AC3">
      <w:pP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该学位证书与统招生学位证书具有相同的法律效力与社会认可度</w:t>
      </w:r>
      <w:r>
        <w:rPr>
          <w:rFonts w:ascii="仿宋" w:eastAsia="仿宋" w:hAnsi="仿宋" w:hint="eastAsia"/>
          <w:sz w:val="24"/>
          <w:szCs w:val="24"/>
        </w:rPr>
        <w:t>。</w:t>
      </w:r>
    </w:p>
    <w:p w:rsidR="00A60648" w:rsidRDefault="005F5AC3">
      <w:pPr>
        <w:rPr>
          <w:rFonts w:ascii="仿宋" w:eastAsia="仿宋" w:hAnsi="仿宋"/>
          <w:sz w:val="24"/>
          <w:szCs w:val="24"/>
        </w:rPr>
      </w:pPr>
      <w:r>
        <w:rPr>
          <w:rFonts w:ascii="黑体" w:eastAsia="黑体" w:hAnsi="黑体" w:cs="宋体" w:hint="eastAsia"/>
          <w:b/>
          <w:bCs/>
          <w:color w:val="444444"/>
          <w:kern w:val="0"/>
          <w:sz w:val="28"/>
          <w:szCs w:val="28"/>
        </w:rPr>
        <w:t>十一、申请硕士学位及方法</w:t>
      </w:r>
      <w:r>
        <w:rPr>
          <w:rFonts w:ascii="Tahoma" w:hAnsi="Tahoma" w:cs="Tahoma"/>
          <w:b/>
          <w:bCs/>
          <w:color w:val="000000"/>
          <w:sz w:val="18"/>
          <w:szCs w:val="18"/>
          <w:shd w:val="clear" w:color="auto" w:fill="FFFFFF"/>
        </w:rPr>
        <w:br/>
      </w:r>
      <w:r>
        <w:rPr>
          <w:rFonts w:ascii="仿宋" w:eastAsia="仿宋" w:hAnsi="仿宋"/>
          <w:sz w:val="24"/>
          <w:szCs w:val="24"/>
        </w:rPr>
        <w:t>1</w:t>
      </w:r>
      <w:r>
        <w:rPr>
          <w:rFonts w:ascii="仿宋" w:eastAsia="仿宋" w:hAnsi="仿宋"/>
          <w:sz w:val="24"/>
          <w:szCs w:val="24"/>
        </w:rPr>
        <w:t>、申请学位按照</w:t>
      </w:r>
      <w:r>
        <w:rPr>
          <w:rFonts w:ascii="仿宋" w:eastAsia="仿宋" w:hAnsi="仿宋" w:hint="eastAsia"/>
          <w:sz w:val="24"/>
          <w:szCs w:val="24"/>
        </w:rPr>
        <w:t>中国人民</w:t>
      </w:r>
      <w:r>
        <w:rPr>
          <w:rFonts w:ascii="仿宋" w:eastAsia="仿宋" w:hAnsi="仿宋"/>
          <w:sz w:val="24"/>
          <w:szCs w:val="24"/>
        </w:rPr>
        <w:t>大学研究生</w:t>
      </w:r>
      <w:r>
        <w:rPr>
          <w:rFonts w:ascii="仿宋" w:eastAsia="仿宋" w:hAnsi="仿宋" w:hint="eastAsia"/>
          <w:sz w:val="24"/>
          <w:szCs w:val="24"/>
        </w:rPr>
        <w:t>院</w:t>
      </w:r>
      <w:r>
        <w:rPr>
          <w:rFonts w:ascii="仿宋" w:eastAsia="仿宋" w:hAnsi="仿宋"/>
          <w:sz w:val="24"/>
          <w:szCs w:val="24"/>
        </w:rPr>
        <w:t>学位办公室关于以研究生毕业同等学力申请硕士学位的规定办理。所交学费不包括进入论文阶段后的费用。</w:t>
      </w:r>
      <w:r>
        <w:rPr>
          <w:rFonts w:ascii="宋体" w:eastAsia="宋体" w:hAnsi="宋体" w:cs="宋体" w:hint="eastAsia"/>
          <w:sz w:val="24"/>
          <w:szCs w:val="24"/>
        </w:rPr>
        <w:t> </w:t>
      </w:r>
      <w:r>
        <w:rPr>
          <w:rFonts w:ascii="仿宋" w:eastAsia="仿宋" w:hAnsi="仿宋"/>
          <w:sz w:val="24"/>
          <w:szCs w:val="24"/>
        </w:rPr>
        <w:br/>
        <w:t>2</w:t>
      </w:r>
      <w:r>
        <w:rPr>
          <w:rFonts w:ascii="仿宋" w:eastAsia="仿宋" w:hAnsi="仿宋"/>
          <w:sz w:val="24"/>
          <w:szCs w:val="24"/>
        </w:rPr>
        <w:t>、报名参加在职课程研修班学习的人员，可在报名时提出以研究生毕业同等学力申请硕士学位。</w:t>
      </w:r>
      <w:r>
        <w:rPr>
          <w:rFonts w:ascii="宋体" w:eastAsia="宋体" w:hAnsi="宋体" w:cs="宋体" w:hint="eastAsia"/>
          <w:sz w:val="24"/>
          <w:szCs w:val="24"/>
        </w:rPr>
        <w:t> </w:t>
      </w:r>
      <w:r>
        <w:rPr>
          <w:rFonts w:ascii="仿宋" w:eastAsia="仿宋" w:hAnsi="仿宋"/>
          <w:sz w:val="24"/>
          <w:szCs w:val="24"/>
        </w:rPr>
        <w:br/>
      </w:r>
      <w:r>
        <w:rPr>
          <w:rFonts w:ascii="仿宋" w:eastAsia="仿宋" w:hAnsi="仿宋"/>
          <w:sz w:val="24"/>
          <w:szCs w:val="24"/>
        </w:rPr>
        <w:t>3</w:t>
      </w:r>
      <w:r>
        <w:rPr>
          <w:rFonts w:ascii="仿宋" w:eastAsia="仿宋" w:hAnsi="仿宋"/>
          <w:sz w:val="24"/>
          <w:szCs w:val="24"/>
        </w:rPr>
        <w:t>、国家统一组织的英语和学科综合水平考试，由我院协助学员到研究生</w:t>
      </w:r>
      <w:r>
        <w:rPr>
          <w:rFonts w:ascii="仿宋" w:eastAsia="仿宋" w:hAnsi="仿宋" w:hint="eastAsia"/>
          <w:sz w:val="24"/>
          <w:szCs w:val="24"/>
        </w:rPr>
        <w:t>院</w:t>
      </w:r>
      <w:r>
        <w:rPr>
          <w:rFonts w:ascii="仿宋" w:eastAsia="仿宋" w:hAnsi="仿宋"/>
          <w:sz w:val="24"/>
          <w:szCs w:val="24"/>
        </w:rPr>
        <w:t>办理手续，费用按规定由学员交纳。</w:t>
      </w:r>
      <w:r>
        <w:rPr>
          <w:rFonts w:ascii="宋体" w:eastAsia="宋体" w:hAnsi="宋体" w:cs="宋体" w:hint="eastAsia"/>
          <w:sz w:val="24"/>
          <w:szCs w:val="24"/>
        </w:rPr>
        <w:t> </w:t>
      </w:r>
      <w:r>
        <w:rPr>
          <w:rFonts w:ascii="仿宋" w:eastAsia="仿宋" w:hAnsi="仿宋"/>
          <w:sz w:val="24"/>
          <w:szCs w:val="24"/>
        </w:rPr>
        <w:br/>
        <w:t>4</w:t>
      </w:r>
      <w:r>
        <w:rPr>
          <w:rFonts w:ascii="仿宋" w:eastAsia="仿宋" w:hAnsi="仿宋"/>
          <w:sz w:val="24"/>
          <w:szCs w:val="24"/>
        </w:rPr>
        <w:t>、我院将为学员安排教师进行学位论文的指导。</w:t>
      </w:r>
    </w:p>
    <w:p w:rsidR="00A60648" w:rsidRDefault="005F5AC3">
      <w:pPr>
        <w:rPr>
          <w:rFonts w:ascii="黑体" w:eastAsia="黑体" w:hAnsi="黑体" w:cs="宋体"/>
          <w:b/>
          <w:bCs/>
          <w:color w:val="444444"/>
          <w:kern w:val="0"/>
          <w:sz w:val="28"/>
          <w:szCs w:val="28"/>
        </w:rPr>
      </w:pPr>
      <w:r>
        <w:rPr>
          <w:rFonts w:ascii="黑体" w:eastAsia="黑体" w:hAnsi="黑体" w:cs="宋体" w:hint="eastAsia"/>
          <w:b/>
          <w:bCs/>
          <w:color w:val="444444"/>
          <w:kern w:val="0"/>
          <w:sz w:val="28"/>
          <w:szCs w:val="28"/>
        </w:rPr>
        <w:t>十二、重要知会</w:t>
      </w:r>
    </w:p>
    <w:p w:rsidR="00A60648" w:rsidRDefault="005F5AC3">
      <w:pPr>
        <w:rPr>
          <w:rFonts w:ascii="仿宋" w:eastAsia="仿宋" w:hAnsi="仿宋" w:hint="eastAsia"/>
          <w:sz w:val="24"/>
          <w:szCs w:val="24"/>
        </w:rPr>
      </w:pPr>
      <w:r>
        <w:rPr>
          <w:rFonts w:ascii="仿宋" w:eastAsia="仿宋" w:hAnsi="仿宋" w:hint="eastAsia"/>
          <w:sz w:val="24"/>
          <w:szCs w:val="24"/>
        </w:rPr>
        <w:t>交付学校审核的本科毕业证书、学士学位证书、身份证必须真实有效，若因证书不真实造成后果，一切责任由本人自负。</w:t>
      </w:r>
    </w:p>
    <w:p w:rsidR="00937D7A" w:rsidRDefault="00937D7A">
      <w:pPr>
        <w:rPr>
          <w:rFonts w:ascii="仿宋" w:eastAsia="仿宋" w:hAnsi="仿宋" w:hint="eastAsia"/>
          <w:sz w:val="24"/>
          <w:szCs w:val="24"/>
        </w:rPr>
      </w:pPr>
    </w:p>
    <w:p w:rsidR="00937D7A" w:rsidRDefault="00937D7A">
      <w:pPr>
        <w:rPr>
          <w:rFonts w:ascii="仿宋" w:eastAsia="仿宋" w:hAnsi="仿宋" w:hint="eastAsia"/>
          <w:sz w:val="24"/>
          <w:szCs w:val="24"/>
        </w:rPr>
      </w:pPr>
    </w:p>
    <w:p w:rsidR="00937D7A" w:rsidRDefault="00937D7A">
      <w:pPr>
        <w:rPr>
          <w:rFonts w:ascii="仿宋" w:eastAsia="仿宋" w:hAnsi="仿宋" w:hint="eastAsia"/>
          <w:sz w:val="24"/>
          <w:szCs w:val="24"/>
        </w:rPr>
      </w:pPr>
    </w:p>
    <w:p w:rsidR="00937D7A" w:rsidRDefault="00937D7A">
      <w:pPr>
        <w:rPr>
          <w:rFonts w:ascii="仿宋" w:eastAsia="仿宋" w:hAnsi="仿宋" w:hint="eastAsia"/>
          <w:sz w:val="24"/>
          <w:szCs w:val="24"/>
        </w:rPr>
      </w:pPr>
    </w:p>
    <w:p w:rsidR="00937D7A" w:rsidRDefault="00937D7A">
      <w:pPr>
        <w:rPr>
          <w:rFonts w:ascii="仿宋" w:eastAsia="仿宋" w:hAnsi="仿宋" w:hint="eastAsia"/>
          <w:sz w:val="24"/>
          <w:szCs w:val="24"/>
        </w:rPr>
      </w:pPr>
    </w:p>
    <w:p w:rsidR="00937D7A" w:rsidRDefault="00937D7A">
      <w:pPr>
        <w:rPr>
          <w:rFonts w:ascii="仿宋" w:eastAsia="仿宋" w:hAnsi="仿宋" w:hint="eastAsia"/>
          <w:sz w:val="24"/>
          <w:szCs w:val="24"/>
        </w:rPr>
      </w:pPr>
    </w:p>
    <w:p w:rsidR="00937D7A" w:rsidRDefault="00937D7A">
      <w:pPr>
        <w:rPr>
          <w:rFonts w:ascii="仿宋" w:eastAsia="仿宋" w:hAnsi="仿宋" w:hint="eastAsia"/>
          <w:sz w:val="24"/>
          <w:szCs w:val="24"/>
        </w:rPr>
      </w:pPr>
    </w:p>
    <w:p w:rsidR="00937D7A" w:rsidRDefault="00937D7A">
      <w:pPr>
        <w:rPr>
          <w:rFonts w:ascii="仿宋" w:eastAsia="仿宋" w:hAnsi="仿宋" w:hint="eastAsia"/>
          <w:sz w:val="24"/>
          <w:szCs w:val="24"/>
        </w:rPr>
      </w:pPr>
    </w:p>
    <w:p w:rsidR="00937D7A" w:rsidRDefault="00937D7A" w:rsidP="00937D7A">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937D7A" w:rsidRDefault="00937D7A" w:rsidP="00937D7A">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937D7A" w:rsidTr="005F1E1D">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r>
      <w:tr w:rsidR="00937D7A" w:rsidTr="005F1E1D">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937D7A" w:rsidRDefault="00937D7A" w:rsidP="005F1E1D">
            <w:pPr>
              <w:widowControl/>
              <w:jc w:val="center"/>
              <w:rPr>
                <w:rFonts w:ascii="宋体" w:hAnsi="宋体"/>
                <w:szCs w:val="21"/>
              </w:rPr>
            </w:pPr>
          </w:p>
        </w:tc>
      </w:tr>
      <w:tr w:rsidR="00937D7A" w:rsidTr="005F1E1D">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937D7A" w:rsidRDefault="00937D7A" w:rsidP="005F1E1D">
            <w:pPr>
              <w:widowControl/>
              <w:spacing w:line="300" w:lineRule="exact"/>
              <w:jc w:val="center"/>
              <w:rPr>
                <w:rFonts w:ascii="宋体" w:hAnsi="宋体"/>
                <w:szCs w:val="21"/>
              </w:rPr>
            </w:pPr>
          </w:p>
        </w:tc>
      </w:tr>
      <w:tr w:rsidR="00937D7A" w:rsidTr="005F1E1D">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937D7A" w:rsidRDefault="00937D7A" w:rsidP="005F1E1D">
            <w:pPr>
              <w:widowControl/>
              <w:spacing w:line="300" w:lineRule="exact"/>
              <w:jc w:val="center"/>
              <w:rPr>
                <w:rFonts w:ascii="宋体" w:hAnsi="宋体"/>
                <w:szCs w:val="21"/>
              </w:rPr>
            </w:pPr>
          </w:p>
        </w:tc>
      </w:tr>
      <w:tr w:rsidR="00937D7A" w:rsidTr="005F1E1D">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937D7A" w:rsidRDefault="00937D7A" w:rsidP="005F1E1D">
            <w:pPr>
              <w:widowControl/>
              <w:spacing w:line="300" w:lineRule="exact"/>
              <w:jc w:val="center"/>
              <w:rPr>
                <w:rFonts w:ascii="宋体" w:hAnsi="宋体"/>
                <w:szCs w:val="21"/>
              </w:rPr>
            </w:pPr>
          </w:p>
        </w:tc>
      </w:tr>
      <w:tr w:rsidR="00937D7A" w:rsidTr="005F1E1D">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937D7A" w:rsidRDefault="00937D7A" w:rsidP="005F1E1D">
            <w:pPr>
              <w:widowControl/>
              <w:spacing w:line="300" w:lineRule="exact"/>
              <w:jc w:val="center"/>
              <w:rPr>
                <w:rFonts w:ascii="宋体" w:hAnsi="宋体"/>
                <w:szCs w:val="21"/>
              </w:rPr>
            </w:pPr>
          </w:p>
        </w:tc>
      </w:tr>
      <w:tr w:rsidR="00937D7A" w:rsidTr="005F1E1D">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37D7A" w:rsidRDefault="00937D7A" w:rsidP="005F1E1D">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937D7A" w:rsidRDefault="00937D7A" w:rsidP="005F1E1D">
            <w:pPr>
              <w:spacing w:line="300" w:lineRule="exact"/>
              <w:jc w:val="center"/>
              <w:rPr>
                <w:rFonts w:ascii="宋体" w:hAnsi="宋体"/>
                <w:szCs w:val="21"/>
              </w:rPr>
            </w:pPr>
          </w:p>
        </w:tc>
      </w:tr>
      <w:tr w:rsidR="00937D7A" w:rsidTr="005F1E1D">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937D7A" w:rsidRDefault="00937D7A" w:rsidP="005F1E1D">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937D7A" w:rsidRDefault="00937D7A" w:rsidP="005F1E1D">
            <w:pPr>
              <w:spacing w:line="300" w:lineRule="exact"/>
              <w:jc w:val="center"/>
              <w:rPr>
                <w:rFonts w:ascii="宋体" w:hAnsi="宋体"/>
                <w:szCs w:val="21"/>
              </w:rPr>
            </w:pPr>
          </w:p>
        </w:tc>
      </w:tr>
      <w:tr w:rsidR="00937D7A" w:rsidTr="005F1E1D">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937D7A" w:rsidRDefault="00937D7A" w:rsidP="005F1E1D">
            <w:pPr>
              <w:spacing w:line="480" w:lineRule="exact"/>
              <w:jc w:val="center"/>
              <w:rPr>
                <w:rFonts w:ascii="宋体" w:hAnsi="宋体"/>
                <w:b/>
                <w:szCs w:val="21"/>
              </w:rPr>
            </w:pPr>
            <w:r>
              <w:rPr>
                <w:rFonts w:ascii="宋体" w:hAnsi="宋体" w:hint="eastAsia"/>
                <w:b/>
                <w:szCs w:val="21"/>
              </w:rPr>
              <w:t>教育、工作经历（从大学填起）</w:t>
            </w:r>
          </w:p>
        </w:tc>
      </w:tr>
      <w:tr w:rsidR="00937D7A" w:rsidTr="005F1E1D">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937D7A" w:rsidRDefault="00937D7A" w:rsidP="005F1E1D">
            <w:pPr>
              <w:spacing w:line="480" w:lineRule="exact"/>
              <w:jc w:val="center"/>
              <w:rPr>
                <w:rFonts w:ascii="宋体" w:hAnsi="宋体"/>
                <w:szCs w:val="21"/>
              </w:rPr>
            </w:pPr>
            <w:r>
              <w:rPr>
                <w:rFonts w:ascii="宋体" w:hAnsi="宋体" w:hint="eastAsia"/>
                <w:szCs w:val="21"/>
              </w:rPr>
              <w:t>任何职务</w:t>
            </w:r>
          </w:p>
        </w:tc>
      </w:tr>
      <w:tr w:rsidR="00937D7A" w:rsidTr="005F1E1D">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37D7A" w:rsidRDefault="00937D7A" w:rsidP="005F1E1D">
            <w:pPr>
              <w:spacing w:line="480" w:lineRule="exact"/>
              <w:jc w:val="center"/>
              <w:rPr>
                <w:rFonts w:ascii="宋体" w:hAnsi="宋体"/>
                <w:szCs w:val="21"/>
              </w:rPr>
            </w:pPr>
          </w:p>
        </w:tc>
      </w:tr>
      <w:tr w:rsidR="00937D7A" w:rsidTr="005F1E1D">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37D7A" w:rsidRDefault="00937D7A" w:rsidP="005F1E1D">
            <w:pPr>
              <w:spacing w:line="480" w:lineRule="exact"/>
              <w:jc w:val="center"/>
              <w:rPr>
                <w:rFonts w:ascii="宋体" w:hAnsi="宋体"/>
                <w:szCs w:val="21"/>
              </w:rPr>
            </w:pPr>
          </w:p>
        </w:tc>
      </w:tr>
      <w:tr w:rsidR="00937D7A" w:rsidTr="005F1E1D">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37D7A" w:rsidRDefault="00937D7A" w:rsidP="005F1E1D">
            <w:pPr>
              <w:spacing w:line="480" w:lineRule="exact"/>
              <w:jc w:val="center"/>
              <w:rPr>
                <w:rFonts w:ascii="宋体" w:hAnsi="宋体"/>
                <w:szCs w:val="21"/>
              </w:rPr>
            </w:pPr>
          </w:p>
        </w:tc>
      </w:tr>
      <w:tr w:rsidR="00937D7A" w:rsidTr="005F1E1D">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37D7A" w:rsidRDefault="00937D7A" w:rsidP="005F1E1D">
            <w:pPr>
              <w:spacing w:line="480" w:lineRule="exact"/>
              <w:jc w:val="center"/>
              <w:rPr>
                <w:rFonts w:ascii="宋体" w:hAnsi="宋体"/>
                <w:szCs w:val="21"/>
              </w:rPr>
            </w:pPr>
          </w:p>
        </w:tc>
      </w:tr>
      <w:tr w:rsidR="00937D7A" w:rsidTr="005F1E1D">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937D7A" w:rsidRDefault="00937D7A" w:rsidP="005F1E1D">
            <w:pPr>
              <w:spacing w:line="480" w:lineRule="exact"/>
              <w:jc w:val="center"/>
              <w:rPr>
                <w:rFonts w:ascii="宋体" w:hAnsi="宋体"/>
                <w:b/>
                <w:szCs w:val="21"/>
              </w:rPr>
            </w:pPr>
            <w:r>
              <w:rPr>
                <w:rFonts w:ascii="宋体" w:hAnsi="宋体" w:hint="eastAsia"/>
                <w:b/>
                <w:szCs w:val="21"/>
              </w:rPr>
              <w:t>家庭主要成员</w:t>
            </w:r>
          </w:p>
        </w:tc>
      </w:tr>
      <w:tr w:rsidR="00937D7A" w:rsidTr="005F1E1D">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937D7A" w:rsidRDefault="00937D7A" w:rsidP="005F1E1D">
            <w:pPr>
              <w:spacing w:line="480" w:lineRule="exact"/>
              <w:jc w:val="center"/>
              <w:rPr>
                <w:rFonts w:ascii="宋体" w:hAnsi="宋体"/>
                <w:szCs w:val="21"/>
              </w:rPr>
            </w:pPr>
            <w:r>
              <w:rPr>
                <w:rFonts w:ascii="宋体" w:hAnsi="宋体" w:hint="eastAsia"/>
                <w:szCs w:val="21"/>
              </w:rPr>
              <w:t>联系电话</w:t>
            </w:r>
          </w:p>
        </w:tc>
      </w:tr>
      <w:tr w:rsidR="00937D7A" w:rsidTr="005F1E1D">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37D7A" w:rsidRDefault="00937D7A" w:rsidP="005F1E1D">
            <w:pPr>
              <w:spacing w:line="480" w:lineRule="exact"/>
              <w:jc w:val="center"/>
              <w:rPr>
                <w:rFonts w:ascii="宋体" w:hAnsi="宋体"/>
                <w:szCs w:val="21"/>
              </w:rPr>
            </w:pPr>
          </w:p>
        </w:tc>
      </w:tr>
      <w:tr w:rsidR="00937D7A" w:rsidTr="005F1E1D">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937D7A" w:rsidRDefault="00937D7A" w:rsidP="005F1E1D">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937D7A" w:rsidRDefault="00937D7A" w:rsidP="005F1E1D">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937D7A" w:rsidRDefault="00937D7A" w:rsidP="005F1E1D">
            <w:pPr>
              <w:spacing w:line="480" w:lineRule="exact"/>
              <w:jc w:val="center"/>
              <w:rPr>
                <w:rFonts w:ascii="宋体" w:hAnsi="宋体"/>
                <w:szCs w:val="21"/>
              </w:rPr>
            </w:pPr>
          </w:p>
        </w:tc>
      </w:tr>
      <w:tr w:rsidR="00937D7A" w:rsidTr="005F1E1D">
        <w:trPr>
          <w:trHeight w:val="1356"/>
          <w:jc w:val="center"/>
        </w:trPr>
        <w:tc>
          <w:tcPr>
            <w:tcW w:w="5113" w:type="dxa"/>
            <w:gridSpan w:val="8"/>
            <w:vMerge w:val="restart"/>
            <w:tcBorders>
              <w:top w:val="single" w:sz="4" w:space="0" w:color="auto"/>
              <w:left w:val="double" w:sz="4" w:space="0" w:color="auto"/>
              <w:right w:val="single" w:sz="4" w:space="0" w:color="auto"/>
            </w:tcBorders>
          </w:tcPr>
          <w:p w:rsidR="00937D7A" w:rsidRDefault="00937D7A" w:rsidP="005F1E1D">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937D7A" w:rsidRDefault="00937D7A" w:rsidP="005F1E1D">
            <w:pPr>
              <w:ind w:firstLineChars="150" w:firstLine="315"/>
              <w:rPr>
                <w:rFonts w:ascii="宋体" w:hAnsi="宋体"/>
                <w:szCs w:val="21"/>
              </w:rPr>
            </w:pPr>
          </w:p>
          <w:p w:rsidR="00937D7A" w:rsidRDefault="00937D7A" w:rsidP="005F1E1D">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937D7A" w:rsidRDefault="00937D7A" w:rsidP="005F1E1D">
            <w:pPr>
              <w:ind w:firstLineChars="1200" w:firstLine="2520"/>
              <w:rPr>
                <w:rFonts w:ascii="宋体" w:hAnsi="宋体"/>
                <w:szCs w:val="21"/>
              </w:rPr>
            </w:pPr>
          </w:p>
          <w:p w:rsidR="00937D7A" w:rsidRDefault="00937D7A" w:rsidP="005F1E1D">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937D7A" w:rsidRDefault="00937D7A" w:rsidP="005F1E1D">
            <w:pPr>
              <w:rPr>
                <w:rFonts w:ascii="宋体" w:hAnsi="宋体"/>
                <w:szCs w:val="21"/>
              </w:rPr>
            </w:pPr>
            <w:r>
              <w:rPr>
                <w:rFonts w:ascii="宋体" w:hAnsi="宋体" w:hint="eastAsia"/>
                <w:szCs w:val="21"/>
              </w:rPr>
              <w:t>学院意见：</w:t>
            </w:r>
          </w:p>
          <w:p w:rsidR="00937D7A" w:rsidRDefault="00937D7A" w:rsidP="005F1E1D">
            <w:pPr>
              <w:jc w:val="center"/>
              <w:rPr>
                <w:rFonts w:ascii="宋体" w:hAnsi="宋体"/>
                <w:szCs w:val="21"/>
              </w:rPr>
            </w:pPr>
          </w:p>
          <w:p w:rsidR="00937D7A" w:rsidRDefault="00937D7A" w:rsidP="005F1E1D">
            <w:pPr>
              <w:jc w:val="center"/>
              <w:rPr>
                <w:rFonts w:ascii="宋体" w:hAnsi="宋体"/>
                <w:szCs w:val="21"/>
              </w:rPr>
            </w:pPr>
            <w:r>
              <w:rPr>
                <w:rFonts w:ascii="宋体" w:hAnsi="宋体" w:hint="eastAsia"/>
                <w:szCs w:val="21"/>
              </w:rPr>
              <w:t>公 章</w:t>
            </w:r>
          </w:p>
          <w:p w:rsidR="00937D7A" w:rsidRDefault="00937D7A" w:rsidP="005F1E1D">
            <w:pPr>
              <w:jc w:val="center"/>
              <w:rPr>
                <w:rFonts w:ascii="宋体" w:hAnsi="宋体"/>
                <w:szCs w:val="21"/>
              </w:rPr>
            </w:pPr>
            <w:r>
              <w:rPr>
                <w:rFonts w:ascii="宋体" w:hAnsi="宋体" w:hint="eastAsia"/>
                <w:szCs w:val="21"/>
              </w:rPr>
              <w:t xml:space="preserve">                           年    月     日</w:t>
            </w:r>
          </w:p>
        </w:tc>
      </w:tr>
      <w:tr w:rsidR="00937D7A" w:rsidTr="005F1E1D">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937D7A" w:rsidRDefault="00937D7A" w:rsidP="005F1E1D">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937D7A" w:rsidRDefault="00937D7A" w:rsidP="005F1E1D">
            <w:pPr>
              <w:rPr>
                <w:rFonts w:ascii="宋体" w:hAnsi="宋体"/>
                <w:szCs w:val="21"/>
              </w:rPr>
            </w:pPr>
            <w:r>
              <w:rPr>
                <w:rFonts w:ascii="宋体" w:hAnsi="宋体" w:hint="eastAsia"/>
                <w:szCs w:val="21"/>
              </w:rPr>
              <w:t>研究生院审批：</w:t>
            </w:r>
          </w:p>
          <w:p w:rsidR="00937D7A" w:rsidRDefault="00937D7A" w:rsidP="005F1E1D">
            <w:pPr>
              <w:jc w:val="center"/>
              <w:rPr>
                <w:rFonts w:ascii="宋体" w:hAnsi="宋体"/>
                <w:szCs w:val="21"/>
              </w:rPr>
            </w:pPr>
            <w:r>
              <w:rPr>
                <w:rFonts w:ascii="宋体" w:hAnsi="宋体" w:hint="eastAsia"/>
                <w:szCs w:val="21"/>
              </w:rPr>
              <w:t>公 章</w:t>
            </w:r>
          </w:p>
          <w:p w:rsidR="00937D7A" w:rsidRDefault="00937D7A" w:rsidP="005F1E1D">
            <w:pPr>
              <w:jc w:val="center"/>
              <w:rPr>
                <w:rFonts w:ascii="宋体" w:hAnsi="宋体"/>
                <w:szCs w:val="21"/>
              </w:rPr>
            </w:pPr>
            <w:r>
              <w:rPr>
                <w:rFonts w:ascii="宋体" w:hAnsi="宋体" w:hint="eastAsia"/>
                <w:szCs w:val="21"/>
              </w:rPr>
              <w:t xml:space="preserve">                           年    月     日</w:t>
            </w:r>
          </w:p>
        </w:tc>
      </w:tr>
    </w:tbl>
    <w:p w:rsidR="00937D7A" w:rsidRPr="00937D7A" w:rsidRDefault="00937D7A">
      <w:pPr>
        <w:rPr>
          <w:rFonts w:ascii="仿宋" w:eastAsia="仿宋" w:hAnsi="仿宋"/>
          <w:sz w:val="24"/>
          <w:szCs w:val="24"/>
        </w:rPr>
      </w:pPr>
    </w:p>
    <w:sectPr w:rsidR="00937D7A" w:rsidRPr="00937D7A">
      <w:headerReference w:type="even" r:id="rId10"/>
      <w:headerReference w:type="default" r:id="rId11"/>
      <w:footerReference w:type="even"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C3" w:rsidRDefault="005F5AC3">
      <w:r>
        <w:separator/>
      </w:r>
    </w:p>
  </w:endnote>
  <w:endnote w:type="continuationSeparator" w:id="0">
    <w:p w:rsidR="005F5AC3" w:rsidRDefault="005F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48" w:rsidRDefault="00A606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48" w:rsidRDefault="00A606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C3" w:rsidRDefault="005F5AC3">
      <w:r>
        <w:separator/>
      </w:r>
    </w:p>
  </w:footnote>
  <w:footnote w:type="continuationSeparator" w:id="0">
    <w:p w:rsidR="005F5AC3" w:rsidRDefault="005F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48" w:rsidRDefault="005F5AC3">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48" w:rsidRDefault="005F5AC3">
    <w:pPr>
      <w:pStyle w:val="a5"/>
    </w:pPr>
    <w:r>
      <w:rPr>
        <w:noProof/>
      </w:rPr>
      <w:drawing>
        <wp:inline distT="0" distB="0" distL="114300" distR="114300">
          <wp:extent cx="1691640" cy="422910"/>
          <wp:effectExtent l="0" t="0" r="3810" b="1524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1"/>
                  <a:stretch>
                    <a:fillRect/>
                  </a:stretch>
                </pic:blipFill>
                <pic:spPr>
                  <a:xfrm>
                    <a:off x="0" y="0"/>
                    <a:ext cx="1691640" cy="422910"/>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655.85pt;height:550.1pt;z-index:-251656192;mso-position-horizontal:center;mso-position-horizontal-relative:margin;mso-position-vertical:center;mso-position-vertical-relative:margin;mso-width-relative:page;mso-height-relative:page" o:allowincell="f">
          <v:imagedata r:id="rId2" o:title="人大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48" w:rsidRDefault="005F5AC3">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361DD"/>
    <w:multiLevelType w:val="singleLevel"/>
    <w:tmpl w:val="82D361D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53"/>
    <w:rsid w:val="00001AA9"/>
    <w:rsid w:val="00013CDD"/>
    <w:rsid w:val="00070B31"/>
    <w:rsid w:val="00185E32"/>
    <w:rsid w:val="00301579"/>
    <w:rsid w:val="00417549"/>
    <w:rsid w:val="004276BF"/>
    <w:rsid w:val="0045758C"/>
    <w:rsid w:val="004E7D53"/>
    <w:rsid w:val="00516111"/>
    <w:rsid w:val="00571398"/>
    <w:rsid w:val="005F0C6D"/>
    <w:rsid w:val="005F5AC3"/>
    <w:rsid w:val="00636297"/>
    <w:rsid w:val="0066229A"/>
    <w:rsid w:val="008E38E4"/>
    <w:rsid w:val="00937D7A"/>
    <w:rsid w:val="009C4984"/>
    <w:rsid w:val="00A54AF9"/>
    <w:rsid w:val="00A60648"/>
    <w:rsid w:val="00A97BBD"/>
    <w:rsid w:val="00BB29F0"/>
    <w:rsid w:val="00C30797"/>
    <w:rsid w:val="00C86530"/>
    <w:rsid w:val="00D72D8E"/>
    <w:rsid w:val="00D8138D"/>
    <w:rsid w:val="04AC3A7F"/>
    <w:rsid w:val="1EB906C0"/>
    <w:rsid w:val="25CB7138"/>
    <w:rsid w:val="2F3C726D"/>
    <w:rsid w:val="2F69771D"/>
    <w:rsid w:val="366A797C"/>
    <w:rsid w:val="382E6C81"/>
    <w:rsid w:val="3D1372E8"/>
    <w:rsid w:val="49BE495D"/>
    <w:rsid w:val="54F253F0"/>
    <w:rsid w:val="65485AF5"/>
    <w:rsid w:val="794E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宋体" w:eastAsia="宋体" w:hAnsi="宋体" w:cs="Times New Roman" w:hint="eastAsia"/>
      <w:kern w:val="44"/>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jc w:val="left"/>
    </w:pPr>
    <w:rPr>
      <w:rFonts w:ascii="宋体" w:eastAsia="宋体" w:hAnsi="宋体" w:cs="Times New Roman" w:hint="eastAsia"/>
      <w:kern w:val="0"/>
      <w:sz w:val="24"/>
    </w:rPr>
  </w:style>
  <w:style w:type="character" w:styleId="a7">
    <w:name w:val="FollowedHyperlink"/>
    <w:basedOn w:val="a0"/>
    <w:uiPriority w:val="99"/>
    <w:semiHidden/>
    <w:unhideWhenUsed/>
    <w:qFormat/>
    <w:rPr>
      <w:color w:val="000000"/>
      <w:u w:val="none"/>
    </w:rPr>
  </w:style>
  <w:style w:type="character" w:styleId="a8">
    <w:name w:val="Hyperlink"/>
    <w:basedOn w:val="a0"/>
    <w:uiPriority w:val="99"/>
    <w:semiHidden/>
    <w:unhideWhenUsed/>
    <w:qFormat/>
    <w:rPr>
      <w:color w:val="000000"/>
      <w:u w:val="none"/>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libiao">
    <w:name w:val="libiao"/>
    <w:basedOn w:val="a0"/>
    <w:qFormat/>
    <w:rPr>
      <w:color w:val="747373"/>
    </w:rPr>
  </w:style>
  <w:style w:type="character" w:customStyle="1" w:styleId="libiao1">
    <w:name w:val="libiao1"/>
    <w:basedOn w:val="a0"/>
    <w:qFormat/>
    <w:rPr>
      <w:color w:val="747373"/>
    </w:rPr>
  </w:style>
  <w:style w:type="character" w:customStyle="1" w:styleId="libiao2">
    <w:name w:val="libiao2"/>
    <w:basedOn w:val="a0"/>
    <w:qFormat/>
    <w:rPr>
      <w:color w:val="747373"/>
    </w:rPr>
  </w:style>
  <w:style w:type="character" w:customStyle="1" w:styleId="libiao3">
    <w:name w:val="libiao3"/>
    <w:basedOn w:val="a0"/>
    <w:qFormat/>
    <w:rPr>
      <w:rFonts w:ascii="微软雅黑" w:eastAsia="微软雅黑" w:hAnsi="微软雅黑" w:cs="微软雅黑"/>
      <w:color w:val="969798"/>
    </w:rPr>
  </w:style>
  <w:style w:type="character" w:customStyle="1" w:styleId="libiao4">
    <w:name w:val="libiao4"/>
    <w:basedOn w:val="a0"/>
    <w:qFormat/>
    <w:rPr>
      <w:rFonts w:ascii="微软雅黑" w:eastAsia="微软雅黑" w:hAnsi="微软雅黑" w:cs="微软雅黑" w:hint="eastAsia"/>
      <w:color w:val="74737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宋体" w:eastAsia="宋体" w:hAnsi="宋体" w:cs="Times New Roman" w:hint="eastAsia"/>
      <w:kern w:val="44"/>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jc w:val="left"/>
    </w:pPr>
    <w:rPr>
      <w:rFonts w:ascii="宋体" w:eastAsia="宋体" w:hAnsi="宋体" w:cs="Times New Roman" w:hint="eastAsia"/>
      <w:kern w:val="0"/>
      <w:sz w:val="24"/>
    </w:rPr>
  </w:style>
  <w:style w:type="character" w:styleId="a7">
    <w:name w:val="FollowedHyperlink"/>
    <w:basedOn w:val="a0"/>
    <w:uiPriority w:val="99"/>
    <w:semiHidden/>
    <w:unhideWhenUsed/>
    <w:qFormat/>
    <w:rPr>
      <w:color w:val="000000"/>
      <w:u w:val="none"/>
    </w:rPr>
  </w:style>
  <w:style w:type="character" w:styleId="a8">
    <w:name w:val="Hyperlink"/>
    <w:basedOn w:val="a0"/>
    <w:uiPriority w:val="99"/>
    <w:semiHidden/>
    <w:unhideWhenUsed/>
    <w:qFormat/>
    <w:rPr>
      <w:color w:val="000000"/>
      <w:u w:val="none"/>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libiao">
    <w:name w:val="libiao"/>
    <w:basedOn w:val="a0"/>
    <w:qFormat/>
    <w:rPr>
      <w:color w:val="747373"/>
    </w:rPr>
  </w:style>
  <w:style w:type="character" w:customStyle="1" w:styleId="libiao1">
    <w:name w:val="libiao1"/>
    <w:basedOn w:val="a0"/>
    <w:qFormat/>
    <w:rPr>
      <w:color w:val="747373"/>
    </w:rPr>
  </w:style>
  <w:style w:type="character" w:customStyle="1" w:styleId="libiao2">
    <w:name w:val="libiao2"/>
    <w:basedOn w:val="a0"/>
    <w:qFormat/>
    <w:rPr>
      <w:color w:val="747373"/>
    </w:rPr>
  </w:style>
  <w:style w:type="character" w:customStyle="1" w:styleId="libiao3">
    <w:name w:val="libiao3"/>
    <w:basedOn w:val="a0"/>
    <w:qFormat/>
    <w:rPr>
      <w:rFonts w:ascii="微软雅黑" w:eastAsia="微软雅黑" w:hAnsi="微软雅黑" w:cs="微软雅黑"/>
      <w:color w:val="969798"/>
    </w:rPr>
  </w:style>
  <w:style w:type="character" w:customStyle="1" w:styleId="libiao4">
    <w:name w:val="libiao4"/>
    <w:basedOn w:val="a0"/>
    <w:qFormat/>
    <w:rPr>
      <w:rFonts w:ascii="微软雅黑" w:eastAsia="微软雅黑" w:hAnsi="微软雅黑" w:cs="微软雅黑" w:hint="eastAsia"/>
      <w:color w:val="7473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641</Words>
  <Characters>3656</Characters>
  <Application>Microsoft Office Word</Application>
  <DocSecurity>0</DocSecurity>
  <Lines>30</Lines>
  <Paragraphs>8</Paragraphs>
  <ScaleCrop>false</ScaleCrop>
  <Company>Sky123.Org</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2015-12-24T05:43:00Z</dcterms:created>
  <dcterms:modified xsi:type="dcterms:W3CDTF">2020-01-10T06:46:00Z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