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eastAsia" w:asciiTheme="minorEastAsia" w:hAnsiTheme="minorEastAsia" w:eastAsiaTheme="minorEastAsia" w:cstheme="minorEastAsia"/>
          <w:b/>
          <w:bCs/>
          <w:sz w:val="32"/>
          <w:szCs w:val="32"/>
          <w:lang w:eastAsia="zh-CN"/>
        </w:rPr>
      </w:pPr>
      <w:r>
        <w:rPr>
          <w:rFonts w:hint="eastAsia"/>
          <w:lang w:val="en-US" w:eastAsia="zh-CN"/>
        </w:rPr>
        <w:t xml:space="preserve">  </w:t>
      </w:r>
      <w:r>
        <w:rPr>
          <w:rFonts w:asciiTheme="minorEastAsia" w:hAnsiTheme="minorEastAsia" w:cstheme="minorEastAsia"/>
          <w:b/>
          <w:bCs/>
          <w:sz w:val="32"/>
          <w:szCs w:val="32"/>
        </w:rPr>
        <w:drawing>
          <wp:anchor distT="0" distB="0" distL="114300" distR="114300" simplePos="0" relativeHeight="251659264" behindDoc="0" locked="0" layoutInCell="1" allowOverlap="1">
            <wp:simplePos x="0" y="0"/>
            <wp:positionH relativeFrom="margin">
              <wp:posOffset>1562100</wp:posOffset>
            </wp:positionH>
            <wp:positionV relativeFrom="paragraph">
              <wp:posOffset>165100</wp:posOffset>
            </wp:positionV>
            <wp:extent cx="2235200" cy="591185"/>
            <wp:effectExtent l="0" t="0" r="0" b="0"/>
            <wp:wrapTopAndBottom/>
            <wp:docPr id="1" name="图片 1" descr="C:\Users\a1522\AppData\Local\Temp\WeChat Files\6879752658322548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1522\AppData\Local\Temp\WeChat Files\68797526583225488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235200" cy="591185"/>
                    </a:xfrm>
                    <a:prstGeom prst="rect">
                      <a:avLst/>
                    </a:prstGeom>
                    <a:noFill/>
                    <a:ln>
                      <a:noFill/>
                    </a:ln>
                  </pic:spPr>
                </pic:pic>
              </a:graphicData>
            </a:graphic>
          </wp:anchor>
        </w:drawing>
      </w:r>
      <w:r>
        <w:rPr>
          <w:rFonts w:hint="eastAsia" w:asciiTheme="minorEastAsia" w:hAnsiTheme="minorEastAsia" w:cstheme="minorEastAsia"/>
          <w:b/>
          <w:bCs/>
          <w:sz w:val="32"/>
          <w:szCs w:val="32"/>
        </w:rPr>
        <w:t xml:space="preserve"> 同等学力在职硕士研究生招生简章</w:t>
      </w:r>
      <w:r>
        <w:rPr>
          <w:rFonts w:hint="eastAsia" w:asciiTheme="minorEastAsia" w:hAnsiTheme="minorEastAsia" w:cstheme="minorEastAsia"/>
          <w:b/>
          <w:bCs/>
          <w:sz w:val="32"/>
          <w:szCs w:val="32"/>
          <w:lang w:eastAsia="zh-CN"/>
        </w:rPr>
        <w:t>（全国班）</w:t>
      </w:r>
      <w:bookmarkStart w:id="0" w:name="_GoBack"/>
      <w:bookmarkEnd w:id="0"/>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w:t>
      </w:r>
      <w:r>
        <w:rPr>
          <w:rStyle w:val="5"/>
          <w:rFonts w:hint="eastAsia" w:asciiTheme="minorEastAsia" w:hAnsiTheme="minorEastAsia" w:cstheme="minorEastAsia"/>
          <w:sz w:val="21"/>
          <w:szCs w:val="21"/>
        </w:rPr>
        <w:t>一 学校介绍</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武汉工程大学是一所以工为主，覆盖工、理、管、经、文、法、艺术、医学、教育学等九大学科门类的教学研究型大学。校现有本科教育、专科教育、国际教育及研究生教育，具有学士、硕士、博士学位授予权。学校面向全国31个省、自治区、直辖市招生，其中在29个省、自治区、直辖市整体进入一本招生。目前，全日制在校生22193人，其中研究生2642人，普通本科生18825人，普通专科生675人，留学生51人。国际学院学生1107人。</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学校现设有15个学院、1个部、1个研究设计院，另有1个独立学院。学校构建起了以大化工为主线，磷资源开发与综合利用、化工新材料、先进制造和人文社会科学四大学科群及学科增长极为依托的学科建设新格局。学校现有62个本科专业，5个国家级特色专业。</w:t>
      </w:r>
    </w:p>
    <w:p>
      <w:pPr>
        <w:pStyle w:val="2"/>
        <w:widowControl/>
        <w:ind w:firstLine="280"/>
        <w:rPr>
          <w:rStyle w:val="5"/>
          <w:rFonts w:asciiTheme="minorEastAsia" w:hAnsiTheme="minorEastAsia" w:cstheme="minorEastAsia"/>
          <w:sz w:val="21"/>
          <w:szCs w:val="21"/>
        </w:rPr>
      </w:pPr>
      <w:r>
        <w:rPr>
          <w:rStyle w:val="5"/>
          <w:rFonts w:hint="eastAsia" w:asciiTheme="minorEastAsia" w:hAnsiTheme="minorEastAsia" w:cstheme="minorEastAsia"/>
          <w:sz w:val="21"/>
          <w:szCs w:val="21"/>
        </w:rPr>
        <w:t>二 招生学科专业方向</w:t>
      </w:r>
    </w:p>
    <w:tbl>
      <w:tblPr>
        <w:tblStyle w:val="3"/>
        <w:tblW w:w="9409" w:type="dxa"/>
        <w:tblInd w:w="0" w:type="dxa"/>
        <w:tblLayout w:type="fixed"/>
        <w:tblCellMar>
          <w:top w:w="0" w:type="dxa"/>
          <w:left w:w="0" w:type="dxa"/>
          <w:bottom w:w="0" w:type="dxa"/>
          <w:right w:w="0" w:type="dxa"/>
        </w:tblCellMar>
      </w:tblPr>
      <w:tblGrid>
        <w:gridCol w:w="1380"/>
        <w:gridCol w:w="2676"/>
        <w:gridCol w:w="2028"/>
        <w:gridCol w:w="3325"/>
      </w:tblGrid>
      <w:tr>
        <w:tblPrEx>
          <w:tblLayout w:type="fixed"/>
          <w:tblCellMar>
            <w:top w:w="0" w:type="dxa"/>
            <w:left w:w="0" w:type="dxa"/>
            <w:bottom w:w="0" w:type="dxa"/>
            <w:right w:w="0" w:type="dxa"/>
          </w:tblCellMar>
        </w:tblPrEx>
        <w:trPr>
          <w:trHeight w:val="400" w:hRule="atLeast"/>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学科门类</w:t>
            </w:r>
          </w:p>
        </w:tc>
        <w:tc>
          <w:tcPr>
            <w:tcW w:w="2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专业名称</w:t>
            </w:r>
          </w:p>
        </w:tc>
        <w:tc>
          <w:tcPr>
            <w:tcW w:w="53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考试科目</w:t>
            </w:r>
          </w:p>
        </w:tc>
      </w:tr>
      <w:tr>
        <w:tblPrEx>
          <w:tblLayout w:type="fixed"/>
          <w:tblCellMar>
            <w:top w:w="0" w:type="dxa"/>
            <w:left w:w="0" w:type="dxa"/>
            <w:bottom w:w="0" w:type="dxa"/>
            <w:right w:w="0" w:type="dxa"/>
          </w:tblCellMar>
        </w:tblPrEx>
        <w:trPr>
          <w:trHeight w:val="40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szCs w:val="21"/>
              </w:rPr>
            </w:pPr>
          </w:p>
        </w:tc>
        <w:tc>
          <w:tcPr>
            <w:tcW w:w="2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szCs w:val="21"/>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外国语水平考试</w:t>
            </w:r>
          </w:p>
        </w:tc>
        <w:tc>
          <w:tcPr>
            <w:tcW w:w="3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学科综合水平对应考试科目</w:t>
            </w:r>
          </w:p>
        </w:tc>
      </w:tr>
      <w:tr>
        <w:tblPrEx>
          <w:tblLayout w:type="fixed"/>
          <w:tblCellMar>
            <w:top w:w="0" w:type="dxa"/>
            <w:left w:w="0" w:type="dxa"/>
            <w:bottom w:w="0" w:type="dxa"/>
            <w:right w:w="0" w:type="dxa"/>
          </w:tblCellMar>
        </w:tblPrEx>
        <w:trPr>
          <w:trHeight w:val="40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工学</w:t>
            </w: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0802 机械工程</w:t>
            </w:r>
          </w:p>
        </w:tc>
        <w:tc>
          <w:tcPr>
            <w:tcW w:w="20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英语</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日语</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俄语</w:t>
            </w:r>
          </w:p>
        </w:tc>
        <w:tc>
          <w:tcPr>
            <w:tcW w:w="3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机械工程</w:t>
            </w:r>
          </w:p>
        </w:tc>
      </w:tr>
      <w:tr>
        <w:tblPrEx>
          <w:tblLayout w:type="fixed"/>
          <w:tblCellMar>
            <w:top w:w="0" w:type="dxa"/>
            <w:left w:w="0" w:type="dxa"/>
            <w:bottom w:w="0" w:type="dxa"/>
            <w:right w:w="0" w:type="dxa"/>
          </w:tblCellMar>
        </w:tblPrEx>
        <w:trPr>
          <w:trHeight w:val="40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szCs w:val="21"/>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080300 光学工程</w:t>
            </w:r>
          </w:p>
        </w:tc>
        <w:tc>
          <w:tcPr>
            <w:tcW w:w="20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color w:val="000000"/>
                <w:szCs w:val="21"/>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无</w:t>
            </w:r>
          </w:p>
        </w:tc>
      </w:tr>
      <w:tr>
        <w:tblPrEx>
          <w:tblLayout w:type="fixed"/>
          <w:tblCellMar>
            <w:top w:w="0" w:type="dxa"/>
            <w:left w:w="0" w:type="dxa"/>
            <w:bottom w:w="0" w:type="dxa"/>
            <w:right w:w="0" w:type="dxa"/>
          </w:tblCellMar>
        </w:tblPrEx>
        <w:trPr>
          <w:trHeight w:val="40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szCs w:val="21"/>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0805 材料科学与工程</w:t>
            </w:r>
          </w:p>
        </w:tc>
        <w:tc>
          <w:tcPr>
            <w:tcW w:w="20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color w:val="000000"/>
                <w:szCs w:val="21"/>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无</w:t>
            </w:r>
          </w:p>
        </w:tc>
      </w:tr>
      <w:tr>
        <w:tblPrEx>
          <w:tblLayout w:type="fixed"/>
          <w:tblCellMar>
            <w:top w:w="0" w:type="dxa"/>
            <w:left w:w="0" w:type="dxa"/>
            <w:bottom w:w="0" w:type="dxa"/>
            <w:right w:w="0" w:type="dxa"/>
          </w:tblCellMar>
        </w:tblPrEx>
        <w:trPr>
          <w:trHeight w:val="40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szCs w:val="21"/>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0814 土木工程</w:t>
            </w:r>
          </w:p>
        </w:tc>
        <w:tc>
          <w:tcPr>
            <w:tcW w:w="20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color w:val="000000"/>
                <w:szCs w:val="21"/>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无</w:t>
            </w:r>
          </w:p>
        </w:tc>
      </w:tr>
      <w:tr>
        <w:tblPrEx>
          <w:tblLayout w:type="fixed"/>
          <w:tblCellMar>
            <w:top w:w="0" w:type="dxa"/>
            <w:left w:w="0" w:type="dxa"/>
            <w:bottom w:w="0" w:type="dxa"/>
            <w:right w:w="0" w:type="dxa"/>
          </w:tblCellMar>
        </w:tblPrEx>
        <w:trPr>
          <w:trHeight w:val="40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szCs w:val="21"/>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0817 化学工程与技术</w:t>
            </w:r>
          </w:p>
        </w:tc>
        <w:tc>
          <w:tcPr>
            <w:tcW w:w="20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color w:val="000000"/>
                <w:szCs w:val="21"/>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无</w:t>
            </w:r>
          </w:p>
        </w:tc>
      </w:tr>
      <w:tr>
        <w:tblPrEx>
          <w:tblLayout w:type="fixed"/>
          <w:tblCellMar>
            <w:top w:w="0" w:type="dxa"/>
            <w:left w:w="0" w:type="dxa"/>
            <w:bottom w:w="0" w:type="dxa"/>
            <w:right w:w="0" w:type="dxa"/>
          </w:tblCellMar>
        </w:tblPrEx>
        <w:trPr>
          <w:trHeight w:val="40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szCs w:val="21"/>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0819 矿业工程</w:t>
            </w:r>
          </w:p>
        </w:tc>
        <w:tc>
          <w:tcPr>
            <w:tcW w:w="20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color w:val="000000"/>
                <w:szCs w:val="21"/>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无</w:t>
            </w:r>
          </w:p>
        </w:tc>
      </w:tr>
      <w:tr>
        <w:tblPrEx>
          <w:tblLayout w:type="fixed"/>
          <w:tblCellMar>
            <w:top w:w="0" w:type="dxa"/>
            <w:left w:w="0" w:type="dxa"/>
            <w:bottom w:w="0" w:type="dxa"/>
            <w:right w:w="0" w:type="dxa"/>
          </w:tblCellMar>
        </w:tblPrEx>
        <w:trPr>
          <w:trHeight w:val="40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szCs w:val="21"/>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0830 环境工程</w:t>
            </w:r>
          </w:p>
        </w:tc>
        <w:tc>
          <w:tcPr>
            <w:tcW w:w="20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color w:val="000000"/>
                <w:szCs w:val="21"/>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无</w:t>
            </w:r>
          </w:p>
        </w:tc>
      </w:tr>
      <w:tr>
        <w:tblPrEx>
          <w:tblLayout w:type="fixed"/>
          <w:tblCellMar>
            <w:top w:w="0" w:type="dxa"/>
            <w:left w:w="0" w:type="dxa"/>
            <w:bottom w:w="0" w:type="dxa"/>
            <w:right w:w="0" w:type="dxa"/>
          </w:tblCellMar>
        </w:tblPrEx>
        <w:trPr>
          <w:trHeight w:val="40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管理学</w:t>
            </w: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120202 工商管理</w:t>
            </w:r>
          </w:p>
        </w:tc>
        <w:tc>
          <w:tcPr>
            <w:tcW w:w="20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color w:val="000000"/>
                <w:szCs w:val="21"/>
              </w:rPr>
            </w:pPr>
          </w:p>
        </w:tc>
        <w:tc>
          <w:tcPr>
            <w:tcW w:w="3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工商管理</w:t>
            </w:r>
          </w:p>
        </w:tc>
      </w:tr>
    </w:tbl>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w:t>
      </w:r>
      <w:r>
        <w:rPr>
          <w:rStyle w:val="5"/>
          <w:rFonts w:hint="eastAsia" w:asciiTheme="minorEastAsia" w:hAnsiTheme="minorEastAsia" w:cstheme="minorEastAsia"/>
          <w:sz w:val="21"/>
          <w:szCs w:val="21"/>
        </w:rPr>
        <w:t>三 报名条件</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(一)拥护中华人民共和国宪法，遵守国家法律、法规，品行端正的在职人员。</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(二)已获得学士学位，并在获得学士学位后工作3年以上;或虽无学士学位但已活得硕士或博士学位者;或通过教育部留学服务中心认证的国(境)外学士、硕士或博士学位获得者。</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w:t>
      </w:r>
      <w:r>
        <w:rPr>
          <w:rStyle w:val="5"/>
          <w:rFonts w:hint="eastAsia" w:asciiTheme="minorEastAsia" w:hAnsiTheme="minorEastAsia" w:cstheme="minorEastAsia"/>
          <w:sz w:val="21"/>
          <w:szCs w:val="21"/>
        </w:rPr>
        <w:t>四 培养目标</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1、导师应根据培养方案的要求和因材施教的原则，从每个研究生的具体情况出发，在研究生入学后一个月内制定出研究生的培养计划。</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2、对研究生的培养采取课程学习和论文工作相结合的方式。既要使研究生深入掌握基础理论和专门知识，又要使研究生掌握科学研究的基本方法和技能，具有从事科学研究的能力。整个培养过程应贯彻理论联系实际的方针。</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3、在指导上采取导师负责或者和指导小组集体指导相结合的培养方式。</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4、研究生的学习应强调学位课以听课为主，统一考试;选修课可以采取考试、写读书报告的形式完成。教师的作用在于启发他们深入思考与正确判断，培养独立分析问题和解决问题的能力，重视对学生科研能力和方法的训练。</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5、加强硕士研究生的思想政治工作和道德品质的教育，要求硕士研究生认真参加政治理论课和时事政策的学习，积极参加公益劳动。</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w:t>
      </w:r>
      <w:r>
        <w:rPr>
          <w:rStyle w:val="5"/>
          <w:rFonts w:hint="eastAsia" w:asciiTheme="minorEastAsia" w:hAnsiTheme="minorEastAsia" w:cstheme="minorEastAsia"/>
          <w:sz w:val="21"/>
          <w:szCs w:val="21"/>
        </w:rPr>
        <w:t>五 学习年限</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学费总计18000元/2年</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w:t>
      </w:r>
      <w:r>
        <w:rPr>
          <w:rStyle w:val="5"/>
          <w:rFonts w:hint="eastAsia" w:asciiTheme="minorEastAsia" w:hAnsiTheme="minorEastAsia" w:cstheme="minorEastAsia"/>
          <w:sz w:val="21"/>
          <w:szCs w:val="21"/>
        </w:rPr>
        <w:t>六 课程设置</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1 学位课程学习与考试</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对取得学院课程学习资格者，各专业学院根据申请人医院采取单独开课的授课方式，在五年内修完所申请学科硕士研究生培养方案规定的全部课程，并通过全部考试(含外国语水平和学科综合水平全国统一考试)，达到规定的学分。</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学院再通过我校的全部研究生课程考试后，由我校颁发研究生课程结业证书(加盖武汉工程大学的钢印、红印、校长印)。</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学习期间，外国语(限英语、俄语和日语)需通过在职人员申请硕士学位外国语课程水平全国统一考试。部分专业学科综合须通过同等学力人员申请硕士学位学科综合水平全国统一考试。每年全国统一考试和报名时间以及具体事宜，均依照当年国家有关文件规定办理。</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2 学位课程学习</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各培养单位根据情况采取随在校研究生学习或单独开课等授课方式组织教学。申请人应修完所申请学科专业硕士研究生培养方案规定的全部课程，并通过全部考试，达到规定的学分。</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跨专业申请硕士学位者，学习期间(在开始学习的第一年内)应在我校补修所申请专业的5-6们本科阶段主干课程，且考试成绩合格。</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w:t>
      </w:r>
      <w:r>
        <w:rPr>
          <w:rStyle w:val="5"/>
          <w:rFonts w:hint="eastAsia" w:asciiTheme="minorEastAsia" w:hAnsiTheme="minorEastAsia" w:cstheme="minorEastAsia"/>
          <w:sz w:val="21"/>
          <w:szCs w:val="21"/>
        </w:rPr>
        <w:t>七 学位论文</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1 申请人通过相关考试，成绩合格后，可于每学期在规定时间内，向学院提出撰写硕士学位论文的申请，具体提交材料及资格审核程序见当年我校学位办关于同等学力人员撰写硕士学位论文资格审核的工作通知</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2 学位论文评阅于答辩程序按国务院学位委员会文件和学校有关规定执行。</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3 通过学位论文答辩并经过武汉工程大学学位评定委员会审核通过者，可授予武汉工程大学硕士学位。</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w:t>
      </w:r>
      <w:r>
        <w:rPr>
          <w:rStyle w:val="5"/>
          <w:rFonts w:hint="eastAsia" w:asciiTheme="minorEastAsia" w:hAnsiTheme="minorEastAsia" w:cstheme="minorEastAsia"/>
          <w:sz w:val="21"/>
          <w:szCs w:val="21"/>
        </w:rPr>
        <w:t>八 论文答辩与学位授予</w:t>
      </w:r>
    </w:p>
    <w:p>
      <w:pPr>
        <w:pStyle w:val="2"/>
        <w:widowControl/>
        <w:rPr>
          <w:rFonts w:asciiTheme="minorEastAsia" w:hAnsiTheme="minorEastAsia" w:cstheme="minorEastAsia"/>
          <w:sz w:val="21"/>
          <w:szCs w:val="21"/>
        </w:rPr>
      </w:pPr>
      <w:r>
        <w:rPr>
          <w:rFonts w:hint="eastAsia" w:asciiTheme="minorEastAsia" w:hAnsiTheme="minorEastAsia" w:cstheme="minorEastAsia"/>
          <w:sz w:val="21"/>
          <w:szCs w:val="21"/>
        </w:rPr>
        <w:t>　　研究生完成所有培养环节后，方能申请论文答辩。有关论文答辩、学位申请等环节的具体要求，按照武汉工程大学有关规定执行。论文答辩通过者，准予毕业，并经校学位评定委员会审核通过，授予硕士学位。</w:t>
      </w:r>
    </w:p>
    <w:p>
      <w:pPr>
        <w:pStyle w:val="2"/>
        <w:widowControl/>
        <w:ind w:firstLine="420"/>
        <w:rPr>
          <w:rStyle w:val="5"/>
          <w:rFonts w:hint="eastAsia" w:asciiTheme="minorEastAsia" w:hAnsiTheme="minorEastAsia" w:cstheme="minorEastAsia"/>
          <w:sz w:val="21"/>
          <w:szCs w:val="21"/>
        </w:rPr>
      </w:pPr>
      <w:r>
        <w:rPr>
          <w:rStyle w:val="5"/>
          <w:rFonts w:hint="eastAsia" w:asciiTheme="minorEastAsia" w:hAnsiTheme="minorEastAsia" w:cstheme="minorEastAsia"/>
          <w:sz w:val="21"/>
          <w:szCs w:val="21"/>
        </w:rPr>
        <w:t>九 联系方式</w:t>
      </w:r>
    </w:p>
    <w:p>
      <w:pPr>
        <w:pStyle w:val="2"/>
        <w:widowControl/>
        <w:ind w:firstLine="420"/>
        <w:rPr>
          <w:rStyle w:val="5"/>
          <w:rFonts w:hint="eastAsia" w:asciiTheme="minorEastAsia" w:hAnsiTheme="minorEastAsia" w:cstheme="minorEastAsia"/>
          <w:sz w:val="21"/>
          <w:szCs w:val="21"/>
          <w:lang w:val="en-US" w:eastAsia="zh-CN"/>
        </w:rPr>
      </w:pPr>
      <w:r>
        <w:rPr>
          <w:rStyle w:val="5"/>
          <w:rFonts w:hint="eastAsia" w:asciiTheme="minorEastAsia" w:hAnsiTheme="minorEastAsia" w:cstheme="minorEastAsia"/>
          <w:sz w:val="21"/>
          <w:szCs w:val="21"/>
          <w:lang w:val="en-US" w:eastAsia="zh-CN"/>
        </w:rPr>
        <w:t>400-061-6586</w:t>
      </w:r>
    </w:p>
    <w:p>
      <w:pPr>
        <w:pStyle w:val="2"/>
        <w:widowControl/>
        <w:ind w:firstLine="420"/>
        <w:rPr>
          <w:rStyle w:val="5"/>
          <w:rFonts w:hint="eastAsia" w:asciiTheme="minorEastAsia" w:hAnsiTheme="minorEastAsia" w:cstheme="minorEastAsia"/>
          <w:sz w:val="21"/>
          <w:szCs w:val="21"/>
          <w:lang w:val="en-US" w:eastAsia="zh-CN"/>
        </w:rPr>
      </w:pPr>
    </w:p>
    <w:p>
      <w:pPr>
        <w:pStyle w:val="2"/>
        <w:widowControl/>
        <w:ind w:firstLine="420"/>
        <w:rPr>
          <w:rStyle w:val="5"/>
          <w:rFonts w:hint="eastAsia" w:asciiTheme="minorEastAsia" w:hAnsiTheme="minorEastAsia" w:cstheme="minorEastAsia"/>
          <w:sz w:val="21"/>
          <w:szCs w:val="21"/>
          <w:lang w:val="en-US" w:eastAsia="zh-CN"/>
        </w:rPr>
      </w:pPr>
    </w:p>
    <w:p>
      <w:pPr>
        <w:pStyle w:val="2"/>
        <w:widowControl/>
        <w:ind w:firstLine="420"/>
        <w:rPr>
          <w:rStyle w:val="5"/>
          <w:rFonts w:hint="eastAsia" w:asciiTheme="minorEastAsia" w:hAnsiTheme="minorEastAsia" w:cstheme="minorEastAsia"/>
          <w:sz w:val="21"/>
          <w:szCs w:val="21"/>
          <w:lang w:val="en-US" w:eastAsia="zh-CN"/>
        </w:rPr>
      </w:pPr>
    </w:p>
    <w:p>
      <w:pPr>
        <w:pStyle w:val="2"/>
        <w:widowControl/>
        <w:ind w:firstLine="420"/>
        <w:rPr>
          <w:rStyle w:val="5"/>
          <w:rFonts w:hint="eastAsia" w:asciiTheme="minorEastAsia" w:hAnsiTheme="minorEastAsia" w:cstheme="minorEastAsia"/>
          <w:sz w:val="21"/>
          <w:szCs w:val="21"/>
          <w:lang w:val="en-US" w:eastAsia="zh-CN"/>
        </w:rPr>
      </w:pPr>
    </w:p>
    <w:p>
      <w:pPr>
        <w:pStyle w:val="2"/>
        <w:widowControl/>
        <w:ind w:firstLine="420"/>
        <w:rPr>
          <w:rStyle w:val="5"/>
          <w:rFonts w:hint="eastAsia" w:asciiTheme="minorEastAsia" w:hAnsiTheme="minorEastAsia" w:cstheme="minorEastAsia"/>
          <w:sz w:val="21"/>
          <w:szCs w:val="21"/>
          <w:lang w:val="en-US" w:eastAsia="zh-CN"/>
        </w:rPr>
      </w:pPr>
    </w:p>
    <w:p>
      <w:pPr>
        <w:pStyle w:val="2"/>
        <w:widowControl/>
        <w:ind w:firstLine="420"/>
        <w:rPr>
          <w:rStyle w:val="5"/>
          <w:rFonts w:hint="eastAsia" w:asciiTheme="minorEastAsia" w:hAnsiTheme="minorEastAsia" w:cstheme="minorEastAsia"/>
          <w:sz w:val="21"/>
          <w:szCs w:val="21"/>
          <w:lang w:val="en-US" w:eastAsia="zh-CN"/>
        </w:rPr>
      </w:pPr>
    </w:p>
    <w:p>
      <w:pPr>
        <w:pStyle w:val="2"/>
        <w:widowControl/>
        <w:ind w:firstLine="420"/>
        <w:rPr>
          <w:rStyle w:val="5"/>
          <w:rFonts w:hint="eastAsia" w:asciiTheme="minorEastAsia" w:hAnsiTheme="minorEastAsia" w:cstheme="minorEastAsia"/>
          <w:sz w:val="21"/>
          <w:szCs w:val="21"/>
          <w:lang w:val="en-US" w:eastAsia="zh-CN"/>
        </w:rPr>
      </w:pPr>
    </w:p>
    <w:p>
      <w:pPr>
        <w:pStyle w:val="2"/>
        <w:widowControl/>
        <w:ind w:firstLine="420"/>
        <w:rPr>
          <w:rStyle w:val="5"/>
          <w:rFonts w:hint="eastAsia" w:asciiTheme="minorEastAsia" w:hAnsiTheme="minorEastAsia" w:cstheme="minorEastAsia"/>
          <w:sz w:val="21"/>
          <w:szCs w:val="21"/>
          <w:lang w:val="en-US" w:eastAsia="zh-CN"/>
        </w:rPr>
      </w:pPr>
    </w:p>
    <w:p>
      <w:pPr>
        <w:pStyle w:val="2"/>
        <w:widowControl/>
        <w:ind w:firstLine="420"/>
        <w:rPr>
          <w:rStyle w:val="5"/>
          <w:rFonts w:hint="eastAsia" w:asciiTheme="minorEastAsia" w:hAnsiTheme="minorEastAsia" w:cstheme="minorEastAsia"/>
          <w:sz w:val="21"/>
          <w:szCs w:val="21"/>
          <w:lang w:val="en-US" w:eastAsia="zh-CN"/>
        </w:rPr>
      </w:pPr>
    </w:p>
    <w:p>
      <w:pPr>
        <w:pStyle w:val="2"/>
        <w:widowControl/>
        <w:ind w:firstLine="420"/>
        <w:rPr>
          <w:rStyle w:val="5"/>
          <w:rFonts w:hint="eastAsia" w:asciiTheme="minorEastAsia" w:hAnsiTheme="minorEastAsia" w:cstheme="minorEastAsia"/>
          <w:sz w:val="21"/>
          <w:szCs w:val="21"/>
          <w:lang w:val="en-US" w:eastAsia="zh-CN"/>
        </w:rPr>
      </w:pPr>
    </w:p>
    <w:p>
      <w:pPr>
        <w:pStyle w:val="2"/>
        <w:widowControl/>
        <w:ind w:firstLine="420"/>
        <w:rPr>
          <w:rStyle w:val="5"/>
          <w:rFonts w:hint="eastAsia" w:asciiTheme="minorEastAsia" w:hAnsiTheme="minorEastAsia" w:cstheme="minorEastAsia"/>
          <w:sz w:val="21"/>
          <w:szCs w:val="21"/>
          <w:lang w:val="en-US" w:eastAsia="zh-CN"/>
        </w:rPr>
      </w:pPr>
    </w:p>
    <w:p>
      <w:pPr>
        <w:pStyle w:val="2"/>
        <w:widowControl/>
        <w:ind w:firstLine="420"/>
        <w:rPr>
          <w:rStyle w:val="5"/>
          <w:rFonts w:hint="eastAsia" w:asciiTheme="minorEastAsia" w:hAnsiTheme="minorEastAsia" w:cstheme="minorEastAsia"/>
          <w:sz w:val="21"/>
          <w:szCs w:val="21"/>
          <w:lang w:val="en-US" w:eastAsia="zh-CN"/>
        </w:rPr>
      </w:pPr>
    </w:p>
    <w:p>
      <w:pPr>
        <w:pStyle w:val="2"/>
        <w:widowControl/>
        <w:ind w:firstLine="420"/>
        <w:rPr>
          <w:rStyle w:val="5"/>
          <w:rFonts w:hint="eastAsia" w:asciiTheme="minorEastAsia" w:hAnsiTheme="minorEastAsia" w:cstheme="minorEastAsia"/>
          <w:sz w:val="21"/>
          <w:szCs w:val="21"/>
          <w:lang w:val="en-US" w:eastAsia="zh-CN"/>
        </w:rPr>
      </w:pPr>
    </w:p>
    <w:p>
      <w:pPr>
        <w:pStyle w:val="2"/>
        <w:widowControl/>
        <w:ind w:firstLine="420"/>
        <w:rPr>
          <w:rStyle w:val="5"/>
          <w:rFonts w:hint="eastAsia" w:asciiTheme="minorEastAsia" w:hAnsiTheme="minorEastAsia" w:cstheme="minorEastAsia"/>
          <w:sz w:val="21"/>
          <w:szCs w:val="21"/>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firstLine="3120" w:firstLineChars="13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在职研报名申请表</w:t>
      </w:r>
    </w:p>
    <w:tbl>
      <w:tblPr>
        <w:tblStyle w:val="3"/>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bl>
    <w:p>
      <w:pPr>
        <w:pStyle w:val="2"/>
        <w:widowControl/>
        <w:ind w:firstLine="420"/>
        <w:rPr>
          <w:rStyle w:val="5"/>
          <w:rFonts w:hint="default" w:asciiTheme="minorEastAsia" w:hAnsiTheme="minorEastAsia" w:cstheme="minorEastAsia"/>
          <w:sz w:val="21"/>
          <w:szCs w:val="21"/>
          <w:lang w:val="en-US" w:eastAsia="zh-CN"/>
        </w:rPr>
      </w:pP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23403"/>
    <w:rsid w:val="12645BE1"/>
    <w:rsid w:val="26974601"/>
    <w:rsid w:val="2BD23403"/>
    <w:rsid w:val="347C6866"/>
    <w:rsid w:val="528C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2019-08-25T01:33:00Z</dcterms:created>
  <dc:creator>蓝海智慧郑老师</dc:creator>
  <cp:lastModifiedBy>蓝海智慧郑老师</cp:lastModifiedBy>
  <dcterms:modified xsi:type="dcterms:W3CDTF">2019-08-26T02:20:09Z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