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t>江西财经大学金融学院金融学专业金融科技与创新研究方向</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金融业的发展依赖于金融创新，而金融科技是金融创新发展的支撑力量。金融科技与创新研究，主要研究众筹、P2P和区块链金融等新兴金融制度设计与市场应用，金融科技公司风险监管以及金融大数据挖掘与智能金融创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满足社会各界精英提高专业和管理水平的需要，本着服务社会的宗旨，学院从2003年开始招收在职攻读硕士学位学员，办学效果良好，现学院继续招收在职攻读金融学专业金融科技与创新研究方向同等学力申请硕士学位学员。</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1、本专业培养掌握扎实的金融学基础理论和专业知识，把脉国内外经济现状以及未来金融领域的发展新动向，能够运用金融工具使企业获取持续高速成长，掌握金融科技与创新研究专业技能的高级专门管理人才;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2、学员能够在金融、证券、银行、保险机构、大型企业从事经济分析，业务管理，金融投资与管理等工作。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优势一：江西财经大学金融学院是江西省唯一金融学专业博士点，同时也是学校唯一可授予金融学专业硕士学位的学院；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四、报名条件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1、本科毕业并获有学士学位一年以上；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2、专科学历也可报名，但无法申请硕士学位。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7"/>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学位必修课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微观经济学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社会主义经济理论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英语写作</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专业选修课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金融风险管理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投资银行与IPO</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证券与基金投资策略</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金融科技与金融创新</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专业方向课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金融机构与金融市场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中国金融政策与金融创新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高级金融投资学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企业并购与重组</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15000</w:t>
      </w:r>
      <w:r>
        <w:rPr>
          <w:rFonts w:hint="eastAsia" w:ascii="宋体" w:hAnsi="宋体" w:eastAsia="宋体" w:cs="宋体"/>
          <w:szCs w:val="21"/>
        </w:rPr>
        <w:t>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1、学习时间：学制1年；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1、本人身份证及复印件（原件验后归还）；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2、本科毕业证书及复印件和学士学位证书原件及复印件（原件验后归还）；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3、正面1寸近照2张、2寸2张。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82C4C"/>
    <w:rsid w:val="006B5990"/>
    <w:rsid w:val="00AC09DD"/>
    <w:rsid w:val="00D120D3"/>
    <w:rsid w:val="16DC239F"/>
    <w:rsid w:val="251C428E"/>
    <w:rsid w:val="3CE3761A"/>
    <w:rsid w:val="48982C4C"/>
    <w:rsid w:val="636F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uiPriority w:val="0"/>
    <w:rPr>
      <w:kern w:val="2"/>
      <w:sz w:val="18"/>
      <w:szCs w:val="18"/>
    </w:rPr>
  </w:style>
  <w:style w:type="character" w:customStyle="1" w:styleId="11">
    <w:name w:val="页脚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274</Words>
  <Characters>1562</Characters>
  <Lines>13</Lines>
  <Paragraphs>3</Paragraphs>
  <TotalTime>0</TotalTime>
  <ScaleCrop>false</ScaleCrop>
  <LinksUpToDate>false</LinksUpToDate>
  <CharactersWithSpaces>1833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2018-11-12T06:02:00Z</dcterms:created>
  <dc:creator>北京-网络编辑-曹童童</dc:creator>
  <cp:lastModifiedBy>蓝海智慧郑老师</cp:lastModifiedBy>
  <dcterms:modified xsi:type="dcterms:W3CDTF">2019-05-22T01:03:09Z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