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4"/>
        </w:rPr>
      </w:pPr>
      <w:r>
        <w:rPr>
          <w:rFonts w:hint="eastAsia"/>
          <w:b/>
          <w:bCs/>
          <w:sz w:val="24"/>
        </w:rPr>
        <w:t>江西财经大学金融学院金融学专业金融工程与风险管理方向</w:t>
      </w:r>
    </w:p>
    <w:p>
      <w:pPr>
        <w:spacing w:line="360" w:lineRule="auto"/>
        <w:jc w:val="center"/>
        <w:rPr>
          <w:rFonts w:hint="eastAsia" w:eastAsiaTheme="minorEastAsia"/>
          <w:b/>
          <w:bCs/>
          <w:sz w:val="24"/>
          <w:lang w:eastAsia="zh-CN"/>
        </w:rPr>
      </w:pPr>
      <w:r>
        <w:rPr>
          <w:rFonts w:hint="eastAsia"/>
          <w:b/>
          <w:bCs/>
          <w:sz w:val="24"/>
        </w:rPr>
        <w:t>同等学力申请硕士学位招生简章·</w:t>
      </w:r>
      <w:r>
        <w:rPr>
          <w:rFonts w:hint="eastAsia"/>
          <w:b/>
          <w:bCs/>
          <w:sz w:val="24"/>
          <w:lang w:eastAsia="zh-CN"/>
        </w:rPr>
        <w:t>全国</w:t>
      </w:r>
    </w:p>
    <w:p>
      <w:pPr>
        <w:spacing w:line="360" w:lineRule="auto"/>
        <w:jc w:val="left"/>
        <w:rPr>
          <w:szCs w:val="21"/>
        </w:rPr>
      </w:pPr>
    </w:p>
    <w:p>
      <w:pPr>
        <w:spacing w:line="360" w:lineRule="auto"/>
        <w:ind w:firstLine="420" w:firstLineChars="200"/>
        <w:jc w:val="left"/>
        <w:rPr>
          <w:szCs w:val="21"/>
        </w:rPr>
      </w:pPr>
      <w:r>
        <w:rPr>
          <w:rFonts w:hint="eastAsia"/>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szCs w:val="21"/>
        </w:rPr>
      </w:pPr>
    </w:p>
    <w:p>
      <w:pPr>
        <w:spacing w:line="360" w:lineRule="auto"/>
        <w:jc w:val="left"/>
        <w:rPr>
          <w:b/>
          <w:bCs/>
          <w:szCs w:val="21"/>
        </w:rPr>
      </w:pPr>
      <w:r>
        <w:rPr>
          <w:rFonts w:hint="eastAsia"/>
          <w:b/>
          <w:bCs/>
          <w:szCs w:val="21"/>
        </w:rPr>
        <w:t>一、专业简述</w:t>
      </w:r>
    </w:p>
    <w:p>
      <w:pPr>
        <w:spacing w:line="360" w:lineRule="auto"/>
        <w:ind w:firstLine="420" w:firstLineChars="200"/>
        <w:jc w:val="left"/>
        <w:rPr>
          <w:szCs w:val="21"/>
        </w:rPr>
      </w:pPr>
      <w:r>
        <w:rPr>
          <w:rFonts w:hint="eastAsia"/>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szCs w:val="21"/>
        </w:rPr>
      </w:pPr>
      <w:r>
        <w:rPr>
          <w:rFonts w:hint="eastAsia"/>
          <w:szCs w:val="21"/>
        </w:rPr>
        <w:t>金融学是从经济学中分化出来的应用经济学科，是以融通货币和货币资金的经济活动为研究对象，具体研究个人、机构、政府如何获取、支出以及管理资金以及其他金融资产的学科。金融工程与风险管理，是研究金融衍生产品的设计与定价，投资与消费最优配置；金融机构风险管理，包括市场风险、信用风险和操作风险的度量与管理。</w:t>
      </w:r>
    </w:p>
    <w:p>
      <w:pPr>
        <w:spacing w:line="360" w:lineRule="auto"/>
        <w:ind w:firstLine="420" w:firstLineChars="200"/>
        <w:jc w:val="left"/>
        <w:rPr>
          <w:szCs w:val="21"/>
        </w:rPr>
      </w:pPr>
      <w:r>
        <w:rPr>
          <w:rFonts w:hint="eastAsia"/>
          <w:szCs w:val="21"/>
        </w:rPr>
        <w:t>为满足社会各界精英提高专业和管理水平的需要，本着服务社会的宗旨，学院从2003年开始招收在职攻读硕士学位学员，办学效果良好，现学院继续招收在职攻读金融学专业金融工程与风险管理方向同等学力申请硕士学位学员。</w:t>
      </w:r>
    </w:p>
    <w:p>
      <w:pPr>
        <w:spacing w:line="360" w:lineRule="auto"/>
        <w:jc w:val="left"/>
        <w:rPr>
          <w:szCs w:val="21"/>
        </w:rPr>
      </w:pPr>
    </w:p>
    <w:p>
      <w:pPr>
        <w:spacing w:line="360" w:lineRule="auto"/>
        <w:jc w:val="left"/>
        <w:rPr>
          <w:b/>
          <w:bCs/>
          <w:szCs w:val="21"/>
        </w:rPr>
      </w:pPr>
      <w:r>
        <w:rPr>
          <w:rFonts w:hint="eastAsia"/>
          <w:b/>
          <w:bCs/>
          <w:szCs w:val="21"/>
        </w:rPr>
        <w:t>二、培养目标</w:t>
      </w:r>
    </w:p>
    <w:p>
      <w:pPr>
        <w:spacing w:line="360" w:lineRule="auto"/>
        <w:ind w:firstLine="420" w:firstLineChars="200"/>
        <w:jc w:val="left"/>
        <w:rPr>
          <w:szCs w:val="21"/>
        </w:rPr>
      </w:pPr>
      <w:r>
        <w:rPr>
          <w:rFonts w:hint="eastAsia"/>
          <w:szCs w:val="21"/>
        </w:rPr>
        <w:t>1、本专业培养具有金融学方面的理论知识和业务技能，掌握金融工程与风险管理方面的理论知识和业务技能，能够利用股票、债券、期货等金融工具，为金融市场的参与者赢取利润、规避风险或完善服务的专业人才；</w:t>
      </w:r>
    </w:p>
    <w:p>
      <w:pPr>
        <w:spacing w:line="360" w:lineRule="auto"/>
        <w:ind w:firstLine="420" w:firstLineChars="200"/>
        <w:jc w:val="left"/>
        <w:rPr>
          <w:szCs w:val="21"/>
        </w:rPr>
      </w:pPr>
      <w:r>
        <w:rPr>
          <w:rFonts w:hint="eastAsia"/>
          <w:szCs w:val="21"/>
        </w:rPr>
        <w:t>2、学员能在银行、证券、投资、保险及其他经济管理部门和企业从事金融产品的设计、开发及应用和金融风险管理等工作。</w:t>
      </w:r>
    </w:p>
    <w:p>
      <w:pPr>
        <w:spacing w:line="360" w:lineRule="auto"/>
        <w:jc w:val="left"/>
        <w:rPr>
          <w:szCs w:val="21"/>
        </w:rPr>
      </w:pPr>
    </w:p>
    <w:p>
      <w:pPr>
        <w:spacing w:line="360" w:lineRule="auto"/>
        <w:jc w:val="left"/>
        <w:rPr>
          <w:b/>
          <w:bCs/>
          <w:szCs w:val="21"/>
        </w:rPr>
      </w:pPr>
      <w:r>
        <w:rPr>
          <w:rFonts w:hint="eastAsia"/>
          <w:b/>
          <w:bCs/>
          <w:szCs w:val="21"/>
        </w:rPr>
        <w:t>三、专业优势</w:t>
      </w:r>
    </w:p>
    <w:p>
      <w:pPr>
        <w:spacing w:line="360" w:lineRule="auto"/>
        <w:ind w:firstLine="420" w:firstLineChars="200"/>
        <w:jc w:val="left"/>
        <w:rPr>
          <w:szCs w:val="21"/>
        </w:rPr>
      </w:pPr>
      <w:r>
        <w:rPr>
          <w:rFonts w:hint="eastAsia"/>
          <w:szCs w:val="21"/>
        </w:rPr>
        <w:t>优势一：江西财经大学金融学院是江西省唯一金融学专业博士点，同时也是学校唯一可授予金融学专业硕士学位的学院；</w:t>
      </w:r>
    </w:p>
    <w:p>
      <w:pPr>
        <w:spacing w:line="360" w:lineRule="auto"/>
        <w:ind w:firstLine="420" w:firstLineChars="200"/>
        <w:jc w:val="left"/>
        <w:rPr>
          <w:szCs w:val="21"/>
        </w:rPr>
      </w:pPr>
      <w:r>
        <w:rPr>
          <w:rFonts w:hint="eastAsia"/>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szCs w:val="21"/>
        </w:rPr>
      </w:pPr>
      <w:r>
        <w:rPr>
          <w:rFonts w:hint="eastAsia"/>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szCs w:val="21"/>
        </w:rPr>
      </w:pPr>
      <w:r>
        <w:rPr>
          <w:rFonts w:hint="eastAsia"/>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szCs w:val="21"/>
        </w:rPr>
      </w:pPr>
    </w:p>
    <w:p>
      <w:pPr>
        <w:spacing w:line="360" w:lineRule="auto"/>
        <w:jc w:val="left"/>
        <w:rPr>
          <w:b/>
          <w:bCs/>
          <w:szCs w:val="21"/>
        </w:rPr>
      </w:pPr>
      <w:r>
        <w:rPr>
          <w:rFonts w:hint="eastAsia"/>
          <w:b/>
          <w:bCs/>
          <w:szCs w:val="21"/>
        </w:rPr>
        <w:t>四、报名条件</w:t>
      </w:r>
    </w:p>
    <w:p>
      <w:pPr>
        <w:spacing w:line="360" w:lineRule="auto"/>
        <w:ind w:firstLine="420" w:firstLineChars="200"/>
        <w:jc w:val="left"/>
        <w:rPr>
          <w:szCs w:val="21"/>
        </w:rPr>
      </w:pPr>
      <w:r>
        <w:rPr>
          <w:rFonts w:hint="eastAsia"/>
          <w:szCs w:val="21"/>
        </w:rPr>
        <w:t>1、本科毕业并获有学士学位一年以上；</w:t>
      </w:r>
    </w:p>
    <w:p>
      <w:pPr>
        <w:spacing w:line="360" w:lineRule="auto"/>
        <w:ind w:firstLine="420" w:firstLineChars="200"/>
        <w:jc w:val="left"/>
        <w:rPr>
          <w:szCs w:val="21"/>
        </w:rPr>
      </w:pPr>
      <w:r>
        <w:rPr>
          <w:rFonts w:hint="eastAsia"/>
          <w:szCs w:val="21"/>
        </w:rPr>
        <w:t>2、专科学历也可报名，但无法申请硕士学位。</w:t>
      </w:r>
    </w:p>
    <w:p>
      <w:pPr>
        <w:spacing w:line="360" w:lineRule="auto"/>
        <w:jc w:val="left"/>
        <w:rPr>
          <w:szCs w:val="21"/>
        </w:rPr>
      </w:pPr>
    </w:p>
    <w:p>
      <w:pPr>
        <w:spacing w:line="360" w:lineRule="auto"/>
        <w:jc w:val="left"/>
        <w:rPr>
          <w:b/>
          <w:bCs/>
          <w:szCs w:val="21"/>
        </w:rPr>
      </w:pPr>
      <w:r>
        <w:rPr>
          <w:rFonts w:hint="eastAsia"/>
          <w:b/>
          <w:bCs/>
          <w:szCs w:val="21"/>
        </w:rPr>
        <w:t>五、课程设置</w:t>
      </w:r>
    </w:p>
    <w:tbl>
      <w:tblPr>
        <w:tblStyle w:val="6"/>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b/>
                <w:bCs/>
                <w:szCs w:val="21"/>
              </w:rPr>
            </w:pPr>
            <w:r>
              <w:rPr>
                <w:rFonts w:hint="eastAsia"/>
                <w:b/>
                <w:bCs/>
                <w:szCs w:val="21"/>
              </w:rPr>
              <w:t>学位必修课</w:t>
            </w:r>
          </w:p>
        </w:tc>
        <w:tc>
          <w:tcPr>
            <w:tcW w:w="2192" w:type="dxa"/>
            <w:vAlign w:val="center"/>
          </w:tcPr>
          <w:p>
            <w:pPr>
              <w:spacing w:line="360" w:lineRule="auto"/>
              <w:jc w:val="left"/>
              <w:rPr>
                <w:szCs w:val="21"/>
              </w:rPr>
            </w:pPr>
            <w:r>
              <w:rPr>
                <w:rFonts w:hint="eastAsia"/>
                <w:szCs w:val="21"/>
              </w:rPr>
              <w:t>微观经济学</w:t>
            </w:r>
          </w:p>
        </w:tc>
        <w:tc>
          <w:tcPr>
            <w:tcW w:w="2873" w:type="dxa"/>
            <w:vAlign w:val="center"/>
          </w:tcPr>
          <w:p>
            <w:pPr>
              <w:spacing w:line="360" w:lineRule="auto"/>
              <w:jc w:val="left"/>
              <w:rPr>
                <w:szCs w:val="21"/>
              </w:rPr>
            </w:pPr>
            <w:r>
              <w:rPr>
                <w:rFonts w:hint="eastAsia"/>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社会主义经济理论</w:t>
            </w:r>
          </w:p>
        </w:tc>
        <w:tc>
          <w:tcPr>
            <w:tcW w:w="2873" w:type="dxa"/>
            <w:vAlign w:val="center"/>
          </w:tcPr>
          <w:p>
            <w:pPr>
              <w:spacing w:line="360" w:lineRule="auto"/>
              <w:jc w:val="left"/>
              <w:rPr>
                <w:szCs w:val="21"/>
              </w:rPr>
            </w:pPr>
            <w:r>
              <w:rPr>
                <w:rFonts w:hint="eastAsia"/>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国际经济学</w:t>
            </w:r>
          </w:p>
        </w:tc>
        <w:tc>
          <w:tcPr>
            <w:tcW w:w="2873" w:type="dxa"/>
            <w:vAlign w:val="center"/>
          </w:tcPr>
          <w:p>
            <w:pPr>
              <w:spacing w:line="360" w:lineRule="auto"/>
              <w:jc w:val="left"/>
              <w:rPr>
                <w:szCs w:val="21"/>
              </w:rPr>
            </w:pPr>
            <w:r>
              <w:rPr>
                <w:rFonts w:hint="eastAsia"/>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英语写作</w:t>
            </w:r>
          </w:p>
        </w:tc>
        <w:tc>
          <w:tcPr>
            <w:tcW w:w="2873" w:type="dxa"/>
            <w:vAlign w:val="center"/>
          </w:tcPr>
          <w:p>
            <w:pPr>
              <w:spacing w:line="360" w:lineRule="auto"/>
              <w:jc w:val="left"/>
              <w:rPr>
                <w:szCs w:val="21"/>
              </w:rPr>
            </w:pPr>
            <w:r>
              <w:rPr>
                <w:rFonts w:hint="eastAsia"/>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b/>
                <w:bCs/>
                <w:szCs w:val="21"/>
              </w:rPr>
            </w:pPr>
            <w:r>
              <w:rPr>
                <w:rFonts w:hint="eastAsia"/>
                <w:b/>
                <w:bCs/>
                <w:szCs w:val="21"/>
              </w:rPr>
              <w:t>专业选修课</w:t>
            </w:r>
          </w:p>
        </w:tc>
        <w:tc>
          <w:tcPr>
            <w:tcW w:w="2192" w:type="dxa"/>
            <w:vAlign w:val="center"/>
          </w:tcPr>
          <w:p>
            <w:pPr>
              <w:spacing w:line="360" w:lineRule="auto"/>
              <w:jc w:val="left"/>
              <w:rPr>
                <w:szCs w:val="21"/>
              </w:rPr>
            </w:pPr>
            <w:r>
              <w:rPr>
                <w:rFonts w:hint="eastAsia"/>
                <w:szCs w:val="21"/>
              </w:rPr>
              <w:t>国际金融</w:t>
            </w:r>
          </w:p>
        </w:tc>
        <w:tc>
          <w:tcPr>
            <w:tcW w:w="2873" w:type="dxa"/>
            <w:vAlign w:val="center"/>
          </w:tcPr>
          <w:p>
            <w:pPr>
              <w:spacing w:line="360" w:lineRule="auto"/>
              <w:jc w:val="left"/>
              <w:rPr>
                <w:szCs w:val="21"/>
              </w:rPr>
            </w:pPr>
            <w:r>
              <w:rPr>
                <w:rFonts w:hint="eastAsia"/>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公司金融</w:t>
            </w:r>
          </w:p>
        </w:tc>
        <w:tc>
          <w:tcPr>
            <w:tcW w:w="2873" w:type="dxa"/>
            <w:vAlign w:val="center"/>
          </w:tcPr>
          <w:p>
            <w:pPr>
              <w:spacing w:line="360" w:lineRule="auto"/>
              <w:jc w:val="left"/>
              <w:rPr>
                <w:szCs w:val="21"/>
              </w:rPr>
            </w:pPr>
            <w:r>
              <w:rPr>
                <w:rFonts w:hint="eastAsia"/>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金融风险管理</w:t>
            </w:r>
          </w:p>
        </w:tc>
        <w:tc>
          <w:tcPr>
            <w:tcW w:w="2873" w:type="dxa"/>
            <w:vAlign w:val="center"/>
          </w:tcPr>
          <w:p>
            <w:pPr>
              <w:spacing w:line="360" w:lineRule="auto"/>
              <w:jc w:val="left"/>
              <w:rPr>
                <w:szCs w:val="21"/>
              </w:rPr>
            </w:pPr>
            <w:r>
              <w:rPr>
                <w:rFonts w:hint="eastAsia"/>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投资银行与IPO</w:t>
            </w:r>
          </w:p>
        </w:tc>
        <w:tc>
          <w:tcPr>
            <w:tcW w:w="2873" w:type="dxa"/>
            <w:vAlign w:val="center"/>
          </w:tcPr>
          <w:p>
            <w:pPr>
              <w:spacing w:line="360" w:lineRule="auto"/>
              <w:jc w:val="left"/>
              <w:rPr>
                <w:szCs w:val="21"/>
              </w:rPr>
            </w:pPr>
            <w:r>
              <w:rPr>
                <w:rFonts w:hint="eastAsia"/>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证券与基金投资策略</w:t>
            </w:r>
          </w:p>
        </w:tc>
        <w:tc>
          <w:tcPr>
            <w:tcW w:w="2873" w:type="dxa"/>
            <w:vAlign w:val="center"/>
          </w:tcPr>
          <w:p>
            <w:pPr>
              <w:spacing w:line="360" w:lineRule="auto"/>
              <w:jc w:val="left"/>
              <w:rPr>
                <w:szCs w:val="21"/>
              </w:rPr>
            </w:pPr>
            <w:r>
              <w:rPr>
                <w:rFonts w:hint="eastAsia"/>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金融科技与金融创新</w:t>
            </w:r>
          </w:p>
        </w:tc>
        <w:tc>
          <w:tcPr>
            <w:tcW w:w="2873" w:type="dxa"/>
            <w:vAlign w:val="center"/>
          </w:tcPr>
          <w:p>
            <w:pPr>
              <w:spacing w:line="360" w:lineRule="auto"/>
              <w:jc w:val="left"/>
              <w:rPr>
                <w:szCs w:val="21"/>
              </w:rPr>
            </w:pPr>
            <w:r>
              <w:rPr>
                <w:rFonts w:hint="eastAsia"/>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国际金融与外汇市场</w:t>
            </w:r>
          </w:p>
        </w:tc>
        <w:tc>
          <w:tcPr>
            <w:tcW w:w="2873" w:type="dxa"/>
            <w:vAlign w:val="center"/>
          </w:tcPr>
          <w:p>
            <w:pPr>
              <w:spacing w:line="360" w:lineRule="auto"/>
              <w:jc w:val="left"/>
              <w:rPr>
                <w:szCs w:val="21"/>
              </w:rPr>
            </w:pPr>
            <w:r>
              <w:rPr>
                <w:rFonts w:hint="eastAsia"/>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b/>
                <w:bCs/>
                <w:szCs w:val="21"/>
              </w:rPr>
            </w:pPr>
            <w:r>
              <w:rPr>
                <w:rFonts w:hint="eastAsia"/>
                <w:b/>
                <w:bCs/>
                <w:szCs w:val="21"/>
              </w:rPr>
              <w:t>专业方向课</w:t>
            </w:r>
          </w:p>
        </w:tc>
        <w:tc>
          <w:tcPr>
            <w:tcW w:w="2192" w:type="dxa"/>
            <w:vAlign w:val="center"/>
          </w:tcPr>
          <w:p>
            <w:pPr>
              <w:spacing w:line="360" w:lineRule="auto"/>
              <w:jc w:val="left"/>
              <w:rPr>
                <w:szCs w:val="21"/>
              </w:rPr>
            </w:pPr>
            <w:r>
              <w:rPr>
                <w:rFonts w:hint="eastAsia"/>
                <w:szCs w:val="21"/>
              </w:rPr>
              <w:t>期货投资及风险管理</w:t>
            </w:r>
          </w:p>
        </w:tc>
        <w:tc>
          <w:tcPr>
            <w:tcW w:w="2873" w:type="dxa"/>
            <w:vAlign w:val="center"/>
          </w:tcPr>
          <w:p>
            <w:pPr>
              <w:spacing w:line="360" w:lineRule="auto"/>
              <w:jc w:val="left"/>
              <w:rPr>
                <w:szCs w:val="21"/>
              </w:rPr>
            </w:pPr>
            <w:r>
              <w:rPr>
                <w:rFonts w:hint="eastAsia"/>
                <w:szCs w:val="21"/>
              </w:rPr>
              <w:t>金融风险管理及其控制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b/>
                <w:bCs/>
                <w:szCs w:val="21"/>
              </w:rPr>
            </w:pPr>
          </w:p>
        </w:tc>
        <w:tc>
          <w:tcPr>
            <w:tcW w:w="2192" w:type="dxa"/>
            <w:vAlign w:val="center"/>
          </w:tcPr>
          <w:p>
            <w:pPr>
              <w:spacing w:line="360" w:lineRule="auto"/>
              <w:jc w:val="left"/>
              <w:rPr>
                <w:szCs w:val="21"/>
              </w:rPr>
            </w:pPr>
            <w:r>
              <w:rPr>
                <w:rFonts w:hint="eastAsia"/>
                <w:szCs w:val="21"/>
              </w:rPr>
              <w:t>金融工程</w:t>
            </w:r>
          </w:p>
        </w:tc>
        <w:tc>
          <w:tcPr>
            <w:tcW w:w="2873" w:type="dxa"/>
            <w:vAlign w:val="center"/>
          </w:tcPr>
          <w:p>
            <w:pPr>
              <w:spacing w:line="360" w:lineRule="auto"/>
              <w:jc w:val="left"/>
              <w:rPr>
                <w:szCs w:val="21"/>
              </w:rPr>
            </w:pPr>
            <w:r>
              <w:rPr>
                <w:rFonts w:hint="eastAsia"/>
                <w:szCs w:val="21"/>
              </w:rPr>
              <w:t>金融计量经济学</w:t>
            </w:r>
          </w:p>
        </w:tc>
      </w:tr>
    </w:tbl>
    <w:p>
      <w:pPr>
        <w:spacing w:line="360" w:lineRule="auto"/>
        <w:jc w:val="left"/>
        <w:rPr>
          <w:szCs w:val="21"/>
        </w:rPr>
      </w:pPr>
    </w:p>
    <w:p>
      <w:pPr>
        <w:spacing w:line="360" w:lineRule="auto"/>
        <w:jc w:val="left"/>
        <w:rPr>
          <w:b/>
          <w:bCs/>
          <w:szCs w:val="21"/>
        </w:rPr>
      </w:pPr>
      <w:r>
        <w:rPr>
          <w:rFonts w:hint="eastAsia"/>
          <w:b/>
          <w:bCs/>
          <w:szCs w:val="21"/>
        </w:rPr>
        <w:t>六、收费标准</w:t>
      </w:r>
    </w:p>
    <w:p>
      <w:pPr>
        <w:spacing w:line="360" w:lineRule="auto"/>
        <w:ind w:firstLine="420" w:firstLineChars="200"/>
        <w:jc w:val="left"/>
        <w:rPr>
          <w:szCs w:val="21"/>
        </w:rPr>
      </w:pPr>
      <w:r>
        <w:rPr>
          <w:rFonts w:hint="eastAsia"/>
          <w:szCs w:val="21"/>
        </w:rPr>
        <w:t>学费：</w:t>
      </w:r>
      <w:r>
        <w:rPr>
          <w:rFonts w:ascii="宋体" w:hAnsi="宋体" w:eastAsia="宋体" w:cs="宋体"/>
          <w:szCs w:val="21"/>
        </w:rPr>
        <w:t>15000</w:t>
      </w:r>
      <w:r>
        <w:rPr>
          <w:rFonts w:hint="eastAsia"/>
          <w:szCs w:val="21"/>
        </w:rPr>
        <w:t>元。</w:t>
      </w:r>
    </w:p>
    <w:p>
      <w:pPr>
        <w:spacing w:line="360" w:lineRule="auto"/>
        <w:jc w:val="left"/>
        <w:rPr>
          <w:szCs w:val="21"/>
        </w:rPr>
      </w:pPr>
    </w:p>
    <w:p>
      <w:pPr>
        <w:spacing w:line="360" w:lineRule="auto"/>
        <w:jc w:val="left"/>
        <w:rPr>
          <w:b/>
          <w:bCs/>
          <w:szCs w:val="21"/>
        </w:rPr>
      </w:pPr>
      <w:r>
        <w:rPr>
          <w:rFonts w:hint="eastAsia"/>
          <w:b/>
          <w:bCs/>
          <w:szCs w:val="21"/>
        </w:rPr>
        <w:t>七、培养方式</w:t>
      </w:r>
    </w:p>
    <w:p>
      <w:pPr>
        <w:spacing w:line="360" w:lineRule="auto"/>
        <w:ind w:firstLine="420" w:firstLineChars="200"/>
        <w:jc w:val="left"/>
        <w:rPr>
          <w:szCs w:val="21"/>
        </w:rPr>
      </w:pPr>
      <w:r>
        <w:rPr>
          <w:rFonts w:hint="eastAsia"/>
          <w:szCs w:val="21"/>
        </w:rPr>
        <w:t>1、学习时间：学制1年；</w:t>
      </w:r>
    </w:p>
    <w:p>
      <w:pPr>
        <w:spacing w:line="360" w:lineRule="auto"/>
        <w:ind w:firstLine="420" w:firstLineChars="200"/>
        <w:jc w:val="left"/>
        <w:rPr>
          <w:szCs w:val="21"/>
        </w:rPr>
      </w:pPr>
      <w:r>
        <w:rPr>
          <w:rFonts w:hint="eastAsia"/>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szCs w:val="21"/>
        </w:rPr>
      </w:pPr>
    </w:p>
    <w:p>
      <w:pPr>
        <w:spacing w:line="360" w:lineRule="auto"/>
        <w:jc w:val="left"/>
        <w:rPr>
          <w:b/>
          <w:bCs/>
          <w:szCs w:val="21"/>
        </w:rPr>
      </w:pPr>
      <w:r>
        <w:rPr>
          <w:rFonts w:hint="eastAsia"/>
          <w:b/>
          <w:bCs/>
          <w:szCs w:val="21"/>
        </w:rPr>
        <w:t>八、报名手续</w:t>
      </w:r>
    </w:p>
    <w:p>
      <w:pPr>
        <w:spacing w:line="360" w:lineRule="auto"/>
        <w:ind w:firstLine="420" w:firstLineChars="200"/>
        <w:jc w:val="left"/>
        <w:rPr>
          <w:szCs w:val="21"/>
        </w:rPr>
      </w:pPr>
      <w:r>
        <w:rPr>
          <w:rFonts w:hint="eastAsia"/>
          <w:szCs w:val="21"/>
        </w:rPr>
        <w:t>1、本人身份证及复印件（原件验后归还）；</w:t>
      </w:r>
    </w:p>
    <w:p>
      <w:pPr>
        <w:spacing w:line="360" w:lineRule="auto"/>
        <w:ind w:firstLine="420" w:firstLineChars="200"/>
        <w:jc w:val="left"/>
        <w:rPr>
          <w:szCs w:val="21"/>
        </w:rPr>
      </w:pPr>
      <w:r>
        <w:rPr>
          <w:rFonts w:hint="eastAsia"/>
          <w:szCs w:val="21"/>
        </w:rPr>
        <w:t xml:space="preserve">2、本科毕业证书及复印件和学士学位证书原件及复印件（原件验后归还）； </w:t>
      </w:r>
    </w:p>
    <w:p>
      <w:pPr>
        <w:spacing w:line="360" w:lineRule="auto"/>
        <w:ind w:firstLine="420" w:firstLineChars="200"/>
        <w:jc w:val="left"/>
        <w:rPr>
          <w:szCs w:val="21"/>
        </w:rPr>
      </w:pPr>
      <w:r>
        <w:rPr>
          <w:rFonts w:hint="eastAsia"/>
          <w:szCs w:val="21"/>
        </w:rPr>
        <w:t>3、正面1寸近照2张、2寸2张。</w:t>
      </w:r>
    </w:p>
    <w:p>
      <w:pPr>
        <w:spacing w:line="360" w:lineRule="auto"/>
        <w:jc w:val="left"/>
        <w:rPr>
          <w:szCs w:val="21"/>
        </w:rPr>
      </w:pPr>
    </w:p>
    <w:p>
      <w:pPr>
        <w:spacing w:line="360" w:lineRule="auto"/>
        <w:jc w:val="left"/>
        <w:rPr>
          <w:b/>
          <w:bCs/>
          <w:szCs w:val="21"/>
        </w:rPr>
      </w:pPr>
      <w:r>
        <w:rPr>
          <w:rFonts w:hint="eastAsia"/>
          <w:b/>
          <w:bCs/>
          <w:szCs w:val="21"/>
        </w:rPr>
        <w:t>九、获取证书</w:t>
      </w:r>
    </w:p>
    <w:p>
      <w:pPr>
        <w:spacing w:line="360" w:lineRule="auto"/>
        <w:ind w:firstLine="420" w:firstLineChars="200"/>
        <w:jc w:val="left"/>
        <w:rPr>
          <w:szCs w:val="21"/>
        </w:rPr>
      </w:pPr>
      <w:r>
        <w:rPr>
          <w:rFonts w:hint="eastAsia"/>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szCs w:val="21"/>
        </w:rPr>
      </w:pPr>
      <w:r>
        <w:rPr>
          <w:rFonts w:hint="eastAsia"/>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szCs w:val="21"/>
        </w:rPr>
      </w:pPr>
    </w:p>
    <w:p>
      <w:pPr>
        <w:spacing w:line="360" w:lineRule="auto"/>
        <w:jc w:val="left"/>
        <w:rPr>
          <w:b/>
          <w:bCs/>
          <w:szCs w:val="21"/>
        </w:rPr>
      </w:pPr>
      <w:r>
        <w:rPr>
          <w:rFonts w:hint="eastAsia"/>
          <w:b/>
          <w:bCs/>
          <w:szCs w:val="21"/>
        </w:rPr>
        <w:t>十、联系方式</w:t>
      </w:r>
    </w:p>
    <w:p>
      <w:pPr>
        <w:spacing w:line="360" w:lineRule="auto"/>
        <w:ind w:firstLine="420" w:firstLineChars="200"/>
        <w:jc w:val="left"/>
        <w:rPr>
          <w:rFonts w:hint="eastAsia"/>
          <w:szCs w:val="21"/>
          <w:lang w:val="en-US" w:eastAsia="zh-CN"/>
        </w:rPr>
      </w:pPr>
      <w:r>
        <w:rPr>
          <w:rFonts w:hint="eastAsia"/>
          <w:szCs w:val="21"/>
        </w:rPr>
        <w:t>电话：</w:t>
      </w:r>
      <w:r>
        <w:rPr>
          <w:rFonts w:hint="eastAsia"/>
          <w:szCs w:val="21"/>
          <w:lang w:val="en-US" w:eastAsia="zh-CN"/>
        </w:rPr>
        <w:t>400-061-6586</w:t>
      </w:r>
    </w:p>
    <w:p>
      <w:pPr>
        <w:spacing w:line="360" w:lineRule="auto"/>
        <w:ind w:firstLine="420" w:firstLineChars="200"/>
        <w:jc w:val="left"/>
        <w:rPr>
          <w:rFonts w:hint="eastAsia"/>
          <w:szCs w:val="21"/>
          <w:lang w:val="en-US" w:eastAsia="zh-CN"/>
        </w:rPr>
      </w:pPr>
    </w:p>
    <w:p>
      <w:pPr>
        <w:spacing w:line="360" w:lineRule="auto"/>
        <w:ind w:firstLine="420" w:firstLineChars="200"/>
        <w:jc w:val="left"/>
        <w:rPr>
          <w:rFonts w:hint="eastAsia"/>
          <w:szCs w:val="21"/>
          <w:lang w:val="en-US" w:eastAsia="zh-CN"/>
        </w:rPr>
      </w:pPr>
    </w:p>
    <w:p>
      <w:pPr>
        <w:spacing w:line="360" w:lineRule="auto"/>
        <w:ind w:firstLine="420" w:firstLineChars="200"/>
        <w:jc w:val="left"/>
        <w:rPr>
          <w:rFonts w:hint="eastAsia"/>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ind w:firstLine="420" w:firstLineChars="200"/>
        <w:jc w:val="left"/>
        <w:rPr>
          <w:rFonts w:hint="default"/>
          <w:szCs w:val="21"/>
          <w:lang w:val="en-US" w:eastAsia="zh-CN"/>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83125"/>
    <w:rsid w:val="00604882"/>
    <w:rsid w:val="008C6D34"/>
    <w:rsid w:val="00E738FA"/>
    <w:rsid w:val="057A19D0"/>
    <w:rsid w:val="1C083125"/>
    <w:rsid w:val="437D043F"/>
    <w:rsid w:val="440C68BD"/>
    <w:rsid w:val="48AE1BBB"/>
    <w:rsid w:val="7305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281</Words>
  <Characters>1605</Characters>
  <Lines>13</Lines>
  <Paragraphs>3</Paragraphs>
  <TotalTime>0</TotalTime>
  <ScaleCrop>false</ScaleCrop>
  <LinksUpToDate>false</LinksUpToDate>
  <CharactersWithSpaces>1883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2018-11-12T05:18:00Z</dcterms:created>
  <dc:creator>北京-网络编辑-曹童童</dc:creator>
  <cp:lastModifiedBy>蓝海智慧郑老师</cp:lastModifiedBy>
  <dcterms:modified xsi:type="dcterms:W3CDTF">2019-05-22T01:02:06Z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