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rPr>
      </w:pPr>
      <w:r>
        <w:rPr>
          <w:rFonts w:hint="eastAsia" w:ascii="宋体" w:hAnsi="宋体" w:eastAsia="宋体" w:cs="宋体"/>
          <w:b/>
          <w:bCs/>
          <w:sz w:val="24"/>
        </w:rPr>
        <w:t>江西财经大学金融学院金融学专业国际金融理论与投资方向</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rPr>
        <w:t>同等学力申请硕士学位招生简章·</w:t>
      </w:r>
      <w:r>
        <w:rPr>
          <w:rFonts w:hint="eastAsia" w:ascii="宋体" w:hAnsi="宋体" w:eastAsia="宋体" w:cs="宋体"/>
          <w:b/>
          <w:bCs/>
          <w:sz w:val="24"/>
          <w:lang w:eastAsia="zh-CN"/>
        </w:rPr>
        <w:t>全国</w:t>
      </w:r>
    </w:p>
    <w:p>
      <w:pPr>
        <w:spacing w:line="360" w:lineRule="auto"/>
        <w:jc w:val="center"/>
        <w:rPr>
          <w:rFonts w:ascii="宋体" w:hAnsi="宋体" w:eastAsia="宋体" w:cs="宋体"/>
          <w:b/>
          <w:bCs/>
          <w:sz w:val="24"/>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江西财经大学是一所财政部、教育部、江西省人民政府共建，以经济、管理类学科为主，法、工、文、理、艺术等学科协调发展的高等财经学府。2008年2月6日，温家宝总理与江西财大师生共度除夕，发表了重要讲话，并称赞说：“你们学校是所很好的学校”，激励着学校永葆奋斗精神，办好人民满意的教育。</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江西财经大学金融学院成立于2003年。学院拥有江西省唯一的“金融学”专业博士点，同时还拥有“金融学”专业硕士点和“金融硕士”、“保险硕士”专业学位项目。“金融学”2002年获江西省首批品牌专业称号，先后被评为江西省“十五”、“十一五”规划重点学科，2006年被评为江西省第二批示范性硕士点；2007年“金融学”专业获教育部首批第一类特色专业称号。</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金融学是从经济学中分化出来的应用经济学科，是以融通货币和货币资金的经济活动为研究对象，具体研究个人、机构、政府如何获取、支出以及管理资金以及其他金融资产的学科。国际金融理论与投资，主要是研究在国际金融市场下，如何在一定时期内向一定领域投放足够数额的资金或实物的货币等价物，以求在未来达到财产累积、得到收益。</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满足社会各界精英提高专业和管理水平的需要，本着服务社会的宗旨，学院从2003年开始招收在职攻读硕士学位学员，办学效果良好，现学院继续招收在职攻读金融学专业国际金融理论与投资方向同等学力申请硕士学位学员。</w:t>
      </w:r>
    </w:p>
    <w:p>
      <w:pPr>
        <w:spacing w:line="360" w:lineRule="auto"/>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1、培养掌握扎实的金融学基础理论和系统的经济学科专业知识，能够分析金融经济问题，掌握国际金融与投融资专业知识的高级专门管理人才;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2、学员能够在商业银行、证券公司、保险公司等金融机构以及能够在研究机构、高等院校从事金融理论与政策研究的国际金融与投融资方面的工作。</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三、专业优势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优势一：江西财经大学金融学院是江西省唯一金融学专业博士点，同时也是学校唯一可授予金融学专业硕士学位的学院；</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二：任课教师团队实力雄厚，在《经济研究》、《管理世界》等权威刊物发表多篇学术论文，同时获国家级和省级社会科学优秀成果奖等多项荣誉。授课教师团队出版了《国际金融学》、《货币银行学》、《证券投资学》等专业教材，在教学中发挥了积极作用；</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三：与中国人民大学合作设立的江西财经大学现代金融研究院，与江西省金融办、南昌市红谷滩管委会共同发起设立的江西金融发展研究院，与九江银行合作设立的九银票据研究院等知名科研机构以及江西财经大学科技金融研究中心、证券期货研究中心等校级科研机构与金融学院合署办公，学院还下设应用金融研究中心等研究机构。强大的金融研究实力为学员提供了丰富的教学案例及实训、研讨基地，切实加强学员专业知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优势四：学员共享金融界高端交流资源，为职业发展奠定基础；金融学院的学员可分享金融界高端交流会议资源，第一时间了解金融界最新资讯，为自己的金融职业找准方向。</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四、报名条件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1、本科毕业并获有学士学位一年以上；</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2、专科学历也可报名，但无法申请硕士学位。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7"/>
        <w:tblW w:w="6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92"/>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学位必修课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微观经济学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社会主义经济理论</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货币银行学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国际经济学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英语写作</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同等学力英语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专业选修课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资本市场理论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公司金融</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金融风险管理</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金融计量学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投资银行与IPO</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财务战略与财务报表分析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证券与基金投资策略</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资产证券化理论与案例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金融科技与金融创新</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商业银行管理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国际金融与外汇市场</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金融研究前沿专题系列讲座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专业方向课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资本市场分析</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国际金融与外汇投资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投资学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私募股权投资</w:t>
            </w: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w:t>
      </w:r>
      <w:r>
        <w:rPr>
          <w:rFonts w:ascii="宋体" w:hAnsi="宋体" w:eastAsia="宋体" w:cs="宋体"/>
          <w:szCs w:val="21"/>
        </w:rPr>
        <w:t>15000</w:t>
      </w:r>
      <w:r>
        <w:rPr>
          <w:rFonts w:hint="eastAsia" w:ascii="宋体" w:hAnsi="宋体" w:eastAsia="宋体" w:cs="宋体"/>
          <w:szCs w:val="21"/>
        </w:rPr>
        <w:t>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1、学习时间：学制1年；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2、学习方式：采取面授+网络远程学习的方式进行授课。学习期间采取理论与实践相结合、课堂讲授与自学相结合的方式，远程班学员可自行调节学习时间利用互联网学习。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1、本人身份证及复印件（原件验后归还）；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 xml:space="preserve">2、本科毕业证书及复印件和学士学位证书原件及复印件（原件验后归还）； </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3、正面1寸近照2张、2寸2张。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通过本专业硕士研究生所有必修课程和选修课程考试，修满学分，成绩合格，课程学习结束后颁发江西财经大学硕士研究生课程班结业证书。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符合国务院学位办申请学位条件的学员可申请我校经济学硕士学位。学位论文答辩通过后，我校将授予国务院学位委员会统一颁发的经济学硕士学位证书。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210" w:firstLineChars="1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210" w:firstLineChars="100"/>
        <w:jc w:val="left"/>
        <w:rPr>
          <w:rFonts w:hint="eastAsia" w:ascii="宋体" w:hAnsi="宋体" w:eastAsia="宋体" w:cs="宋体"/>
          <w:szCs w:val="21"/>
          <w:lang w:val="en-US" w:eastAsia="zh-CN"/>
        </w:rPr>
      </w:pPr>
    </w:p>
    <w:p>
      <w:pPr>
        <w:spacing w:line="360" w:lineRule="auto"/>
        <w:ind w:firstLine="210" w:firstLineChars="100"/>
        <w:jc w:val="left"/>
        <w:rPr>
          <w:rFonts w:hint="eastAsia" w:ascii="宋体" w:hAnsi="宋体" w:eastAsia="宋体" w:cs="宋体"/>
          <w:szCs w:val="21"/>
          <w:lang w:val="en-US" w:eastAsia="zh-CN"/>
        </w:rPr>
      </w:pPr>
    </w:p>
    <w:p>
      <w:pPr>
        <w:spacing w:line="360" w:lineRule="auto"/>
        <w:ind w:firstLine="210" w:firstLineChars="100"/>
        <w:jc w:val="left"/>
        <w:rPr>
          <w:rFonts w:hint="eastAsia" w:ascii="宋体" w:hAnsi="宋体" w:eastAsia="宋体" w:cs="宋体"/>
          <w:szCs w:val="21"/>
          <w:lang w:val="en-US" w:eastAsia="zh-CN"/>
        </w:rPr>
      </w:pPr>
    </w:p>
    <w:p>
      <w:pPr>
        <w:spacing w:line="360" w:lineRule="auto"/>
        <w:ind w:firstLine="210" w:firstLineChars="100"/>
        <w:jc w:val="left"/>
        <w:rPr>
          <w:rFonts w:hint="eastAsia" w:ascii="宋体" w:hAnsi="宋体" w:eastAsia="宋体" w:cs="宋体"/>
          <w:szCs w:val="21"/>
          <w:lang w:val="en-US" w:eastAsia="zh-CN"/>
        </w:rPr>
      </w:pPr>
    </w:p>
    <w:p>
      <w:pPr>
        <w:jc w:val="center"/>
        <w:rPr>
          <w:rFonts w:hint="eastAsia"/>
          <w:sz w:val="36"/>
          <w:szCs w:val="36"/>
        </w:rPr>
      </w:pPr>
      <w:r>
        <w:rPr>
          <w:rFonts w:hint="eastAsia"/>
          <w:sz w:val="36"/>
          <w:szCs w:val="36"/>
        </w:rPr>
        <w:t>校方</w:t>
      </w:r>
      <w:r>
        <w:rPr>
          <w:rFonts w:hint="eastAsia"/>
          <w:sz w:val="36"/>
          <w:szCs w:val="36"/>
          <w:lang w:val="en-US" w:eastAsia="zh-CN"/>
        </w:rPr>
        <w:t>报</w:t>
      </w:r>
      <w:r>
        <w:rPr>
          <w:rFonts w:hint="eastAsia"/>
          <w:sz w:val="36"/>
          <w:szCs w:val="36"/>
        </w:rPr>
        <w:t>名</w:t>
      </w:r>
      <w:r>
        <w:rPr>
          <w:rFonts w:hint="eastAsia"/>
          <w:sz w:val="36"/>
          <w:szCs w:val="36"/>
          <w:lang w:val="en-US" w:eastAsia="zh-CN"/>
        </w:rPr>
        <w:t>申请</w:t>
      </w:r>
      <w:r>
        <w:rPr>
          <w:rFonts w:hint="eastAsia"/>
          <w:sz w:val="36"/>
          <w:szCs w:val="36"/>
        </w:rPr>
        <w:t>表</w:t>
      </w:r>
    </w:p>
    <w:p>
      <w:pPr>
        <w:jc w:val="left"/>
        <w:rPr>
          <w:rFonts w:hint="eastAsia" w:eastAsia="宋体"/>
          <w:szCs w:val="21"/>
          <w:lang w:val="en-US" w:eastAsia="zh-CN"/>
        </w:rPr>
      </w:pP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217" w:type="dxa"/>
            <w:noWrap w:val="0"/>
            <w:vAlign w:val="top"/>
          </w:tcPr>
          <w:p>
            <w:pPr>
              <w:jc w:val="left"/>
              <w:rPr>
                <w:rFonts w:hint="eastAsia"/>
                <w:sz w:val="24"/>
                <w:szCs w:val="24"/>
              </w:rPr>
            </w:pPr>
            <w:r>
              <w:rPr>
                <w:rFonts w:hint="eastAsia"/>
                <w:sz w:val="24"/>
                <w:szCs w:val="24"/>
              </w:rPr>
              <w:t>课程全名</w:t>
            </w:r>
          </w:p>
        </w:tc>
        <w:tc>
          <w:tcPr>
            <w:tcW w:w="7305" w:type="dxa"/>
            <w:gridSpan w:val="5"/>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AFAFA"/>
              <w:spacing w:before="0" w:beforeAutospacing="0" w:after="300" w:afterAutospacing="0" w:line="525" w:lineRule="atLeast"/>
              <w:ind w:left="0" w:right="0" w:firstLine="0"/>
              <w:rPr>
                <w:rFonts w:hint="eastAsia"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eastAsia="宋体"/>
                <w:szCs w:val="21"/>
                <w:lang w:val="en-US" w:eastAsia="zh-CN"/>
              </w:rPr>
            </w:pP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1" name="矩形 1"/>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65pt;margin-top:2.35pt;height:9.75pt;width:9.8pt;z-index:251659264;mso-width-relative:page;mso-height-relative:page;" fillcolor="#FFFFFF" filled="t" stroked="t"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72nqNMAAAAFAQAADwAAAAAA&#10;AAABACAAAAAiAAAAZHJzL2Rvd25yZXYueG1sUEsBAhQAFAAAAAgAh07iQMbC+ALfAQAAzwMAAA4A&#10;AAAAAAAAAQAgAAAAIg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2" name="矩形 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95pt;margin-top:2.35pt;height:9.75pt;width:9.75pt;z-index:251658240;mso-width-relative:page;mso-height-relative:page;" fillcolor="#FFFFFF" filled="t" stroked="t"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ylw9YAAAAIAQAADwAAAAAA&#10;AAABACAAAAAiAAAAZHJzL2Rvd25yZXYueG1sUEsBAhQAFAAAAAgAh07iQMogi73cAQAAzwMAAA4A&#10;AAAAAAAAAQAgAAAAJQEAAGRycy9lMm9Eb2MueG1sUEsFBgAAAAAGAAYAWQEAAHMFAAAAAA==&#10;">
                      <v:fill on="t" focussize="0,0"/>
                      <v:stroke color="#000000" joinstyle="miter"/>
                      <v:imagedata o:title=""/>
                      <o:lock v:ext="edit" aspectratio="f"/>
                    </v:rect>
                  </w:pict>
                </mc:Fallback>
              </mc:AlternateContent>
            </w:r>
            <w:bookmarkStart w:id="0" w:name="_GoBack"/>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3" name="矩形 3"/>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4pt;margin-top:2.35pt;height:9.75pt;width:8.3pt;z-index:251660288;mso-width-relative:page;mso-height-relative:page;" fillcolor="#FFFFFF" filled="t" stroked="t"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jtdH9cAAAAIAQAADwAA&#10;AAAAAAABACAAAAAiAAAAZHJzL2Rvd25yZXYueG1sUEsBAhQAFAAAAAgAh07iQFAoLoXeAQAAzwMA&#10;AA4AAAAAAAAAAQAgAAAAJgEAAGRycy9lMm9Eb2MueG1sUEsFBgAAAAAGAAYAWQEAAHYFAAAAAA==&#10;">
                      <v:fill on="t" focussize="0,0"/>
                      <v:stroke color="#000000" joinstyle="miter"/>
                      <v:imagedata o:title=""/>
                      <o:lock v:ext="edit" aspectratio="f"/>
                    </v:rect>
                  </w:pict>
                </mc:Fallback>
              </mc:AlternateContent>
            </w:r>
            <w:bookmarkEnd w:id="0"/>
            <w:r>
              <w:rPr>
                <w:rFonts w:hint="eastAsia"/>
                <w:szCs w:val="21"/>
              </w:rPr>
              <w:t>银行汇款   现</w:t>
            </w:r>
            <w:r>
              <w:rPr>
                <w:rFonts w:hint="eastAsia"/>
                <w:szCs w:val="21"/>
                <w:lang w:val="en-US" w:eastAsia="zh-CN"/>
              </w:rPr>
              <w:t>金</w:t>
            </w:r>
            <w:r>
              <w:rPr>
                <w:rFonts w:hint="eastAsia"/>
                <w:szCs w:val="21"/>
              </w:rPr>
              <w:t>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w:t>
            </w:r>
            <w:r>
              <w:rPr>
                <w:rFonts w:hint="eastAsia"/>
                <w:szCs w:val="21"/>
                <w:lang w:val="en-US" w:eastAsia="zh-CN"/>
              </w:rPr>
              <w:t>官方名称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keepNext w:val="0"/>
              <w:keepLines w:val="0"/>
              <w:widowControl/>
              <w:suppressLineNumbers w:val="0"/>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w:t>
            </w:r>
            <w:r>
              <w:rPr>
                <w:rFonts w:hint="eastAsia"/>
                <w:szCs w:val="21"/>
                <w:lang w:val="en-US" w:eastAsia="zh-CN"/>
              </w:rPr>
              <w:t>讯</w:t>
            </w:r>
            <w:r>
              <w:rPr>
                <w:rFonts w:hint="eastAsia"/>
                <w:szCs w:val="21"/>
              </w:rPr>
              <w:t>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3" w:hRule="atLeast"/>
        </w:trPr>
        <w:tc>
          <w:tcPr>
            <w:tcW w:w="8522" w:type="dxa"/>
            <w:gridSpan w:val="6"/>
            <w:noWrap w:val="0"/>
            <w:vAlign w:val="top"/>
          </w:tcPr>
          <w:p>
            <w:pPr>
              <w:jc w:val="left"/>
              <w:rPr>
                <w:rFonts w:hint="eastAsia" w:eastAsia="宋体"/>
                <w:szCs w:val="21"/>
                <w:lang w:val="en-US" w:eastAsia="zh-CN"/>
              </w:rPr>
            </w:pPr>
          </w:p>
        </w:tc>
      </w:tr>
    </w:tbl>
    <w:p>
      <w:pPr>
        <w:spacing w:line="360" w:lineRule="auto"/>
        <w:ind w:firstLine="420" w:firstLineChars="200"/>
        <w:jc w:val="left"/>
        <w:rPr>
          <w:rFonts w:hint="default" w:ascii="宋体" w:hAnsi="宋体" w:eastAsia="宋体" w:cs="宋体"/>
          <w:szCs w:val="21"/>
          <w:lang w:val="en-US" w:eastAsia="zh-CN"/>
        </w:rPr>
      </w:pPr>
    </w:p>
    <w:p>
      <w:pPr>
        <w:spacing w:line="360" w:lineRule="auto"/>
        <w:jc w:val="left"/>
        <w:rPr>
          <w:rFonts w:ascii="宋体" w:hAnsi="宋体" w:eastAsia="宋体" w:cs="宋体"/>
          <w:szCs w:val="21"/>
        </w:rPr>
      </w:pPr>
    </w:p>
    <w:p>
      <w:pPr>
        <w:spacing w:line="360" w:lineRule="auto"/>
        <w:jc w:val="left"/>
        <w:rPr>
          <w:rFonts w:hint="default" w:ascii="宋体" w:hAnsi="宋体" w:eastAsia="宋体" w:cs="宋体"/>
          <w:szCs w:val="21"/>
          <w:lang w:val="en-US" w:eastAsia="zh-CN"/>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EA42"/>
    <w:multiLevelType w:val="singleLevel"/>
    <w:tmpl w:val="2A27EA4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33E40"/>
    <w:rsid w:val="0042382E"/>
    <w:rsid w:val="00660078"/>
    <w:rsid w:val="0093414F"/>
    <w:rsid w:val="26F8338C"/>
    <w:rsid w:val="2E0D6C32"/>
    <w:rsid w:val="39536458"/>
    <w:rsid w:val="453913BC"/>
    <w:rsid w:val="4EE2423C"/>
    <w:rsid w:val="559965C9"/>
    <w:rsid w:val="6A53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uiPriority w:val="0"/>
    <w:rPr>
      <w:kern w:val="2"/>
      <w:sz w:val="18"/>
      <w:szCs w:val="18"/>
    </w:rPr>
  </w:style>
  <w:style w:type="character" w:customStyle="1" w:styleId="11">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278</Words>
  <Characters>1586</Characters>
  <Lines>13</Lines>
  <Paragraphs>3</Paragraphs>
  <TotalTime>0</TotalTime>
  <ScaleCrop>false</ScaleCrop>
  <LinksUpToDate>false</LinksUpToDate>
  <CharactersWithSpaces>1861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2018-11-12T05:47:00Z</dcterms:created>
  <dc:creator>北京-网络编辑-曹童童</dc:creator>
  <cp:lastModifiedBy>蓝海智慧郑老师</cp:lastModifiedBy>
  <dcterms:modified xsi:type="dcterms:W3CDTF">2019-05-22T01:00:03Z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