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南昌大学人文学院中国哲学专业</w:t>
      </w:r>
    </w:p>
    <w:p>
      <w:pPr>
        <w:spacing w:line="360" w:lineRule="auto"/>
        <w:jc w:val="center"/>
        <w:rPr>
          <w:rFonts w:hint="eastAsia" w:ascii="宋体" w:hAnsi="宋体" w:eastAsia="宋体" w:cs="宋体"/>
          <w:szCs w:val="21"/>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中国哲学隶属于哲学一级学科，它致力于研究世界的本原和古今历史演变的规律，形成了自己独具民族特色的自然观、历史观、伦理观、认识论和方法论。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为适应社会发展和经济建设的需要，提高教育、科技、管理等方面专业人员的素质，多渠道地促进中国哲学专业人才培养，经国务院学位委员会批准，特在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地区开展以研究生毕业中国哲学专业同等学力申请硕士学位招生及培养工作。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1、本专业培养具有科学研究能力、管理能力、创新能力，具备本专业坚实的理论基础和系统的专门知识，了解本学科的发展动向和最新成果的高层次专业人才；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2、毕业后能从事中国现当代文学教学、研究，新闻、出版、文秘、创作、评论等具体工作。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9251" w:type="dxa"/>
        <w:tblInd w:w="0" w:type="dxa"/>
        <w:tblLayout w:type="fixed"/>
        <w:tblCellMar>
          <w:top w:w="15" w:type="dxa"/>
          <w:left w:w="15" w:type="dxa"/>
          <w:bottom w:w="15" w:type="dxa"/>
          <w:right w:w="15" w:type="dxa"/>
        </w:tblCellMar>
      </w:tblPr>
      <w:tblGrid>
        <w:gridCol w:w="1589"/>
        <w:gridCol w:w="4026"/>
        <w:gridCol w:w="3636"/>
      </w:tblGrid>
      <w:tr>
        <w:tblPrEx>
          <w:tblLayout w:type="fixed"/>
          <w:tblCellMar>
            <w:top w:w="15" w:type="dxa"/>
            <w:left w:w="15" w:type="dxa"/>
            <w:bottom w:w="15" w:type="dxa"/>
            <w:right w:w="15" w:type="dxa"/>
          </w:tblCellMar>
        </w:tblPrEx>
        <w:trPr>
          <w:trHeight w:val="495" w:hRule="atLeast"/>
        </w:trPr>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Cs w:val="21"/>
              </w:rPr>
            </w:pPr>
            <w:r>
              <w:rPr>
                <w:rFonts w:hint="eastAsia" w:ascii="宋体" w:hAnsi="宋体" w:eastAsia="宋体" w:cs="宋体"/>
                <w:b/>
                <w:color w:val="000000" w:themeColor="text1"/>
                <w:kern w:val="0"/>
                <w:szCs w:val="21"/>
              </w:rPr>
              <w:t>课程类别</w:t>
            </w:r>
          </w:p>
        </w:tc>
        <w:tc>
          <w:tcPr>
            <w:tcW w:w="7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Cs w:val="21"/>
              </w:rPr>
            </w:pPr>
            <w:r>
              <w:rPr>
                <w:rFonts w:hint="eastAsia" w:ascii="宋体" w:hAnsi="宋体" w:eastAsia="宋体" w:cs="宋体"/>
                <w:b/>
                <w:color w:val="000000" w:themeColor="text1"/>
                <w:kern w:val="0"/>
                <w:szCs w:val="21"/>
              </w:rPr>
              <w:t>课程名称</w:t>
            </w:r>
          </w:p>
        </w:tc>
      </w:tr>
      <w:tr>
        <w:tblPrEx>
          <w:tblLayout w:type="fixed"/>
          <w:tblCellMar>
            <w:top w:w="15" w:type="dxa"/>
            <w:left w:w="15" w:type="dxa"/>
            <w:bottom w:w="15" w:type="dxa"/>
            <w:right w:w="15" w:type="dxa"/>
          </w:tblCellMar>
        </w:tblPrEx>
        <w:trPr>
          <w:trHeight w:val="495" w:hRule="atLeast"/>
        </w:trPr>
        <w:tc>
          <w:tcPr>
            <w:tcW w:w="1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4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495" w:hRule="atLeast"/>
        </w:trPr>
        <w:tc>
          <w:tcPr>
            <w:tcW w:w="1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495" w:hRule="atLeast"/>
        </w:trPr>
        <w:tc>
          <w:tcPr>
            <w:tcW w:w="1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4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哲学方法论</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西方哲学研究</w:t>
            </w:r>
          </w:p>
        </w:tc>
      </w:tr>
      <w:tr>
        <w:tblPrEx>
          <w:tblLayout w:type="fixed"/>
          <w:tblCellMar>
            <w:top w:w="15" w:type="dxa"/>
            <w:left w:w="15" w:type="dxa"/>
            <w:bottom w:w="15" w:type="dxa"/>
            <w:right w:w="15" w:type="dxa"/>
          </w:tblCellMar>
        </w:tblPrEx>
        <w:trPr>
          <w:trHeight w:val="495" w:hRule="atLeast"/>
        </w:trPr>
        <w:tc>
          <w:tcPr>
            <w:tcW w:w="1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中国哲学研究</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495" w:hRule="atLeast"/>
        </w:trPr>
        <w:tc>
          <w:tcPr>
            <w:tcW w:w="1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4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江右哲学</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20世纪中国哲学研究</w:t>
            </w:r>
          </w:p>
        </w:tc>
      </w:tr>
      <w:tr>
        <w:tblPrEx>
          <w:tblLayout w:type="fixed"/>
          <w:tblCellMar>
            <w:top w:w="15" w:type="dxa"/>
            <w:left w:w="15" w:type="dxa"/>
            <w:bottom w:w="15" w:type="dxa"/>
            <w:right w:w="15" w:type="dxa"/>
          </w:tblCellMar>
        </w:tblPrEx>
        <w:trPr>
          <w:trHeight w:val="495" w:hRule="atLeast"/>
        </w:trPr>
        <w:tc>
          <w:tcPr>
            <w:tcW w:w="1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清代经学研究</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中国佛教哲学</w:t>
            </w:r>
          </w:p>
        </w:tc>
      </w:tr>
      <w:tr>
        <w:tblPrEx>
          <w:tblLayout w:type="fixed"/>
          <w:tblCellMar>
            <w:top w:w="15" w:type="dxa"/>
            <w:left w:w="15" w:type="dxa"/>
            <w:bottom w:w="15" w:type="dxa"/>
            <w:right w:w="15" w:type="dxa"/>
          </w:tblCellMar>
        </w:tblPrEx>
        <w:trPr>
          <w:trHeight w:val="495" w:hRule="atLeast"/>
        </w:trPr>
        <w:tc>
          <w:tcPr>
            <w:tcW w:w="1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中国哲学原著</w:t>
            </w:r>
          </w:p>
        </w:tc>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宋明理学</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05AC8"/>
    <w:rsid w:val="00035C53"/>
    <w:rsid w:val="000473DF"/>
    <w:rsid w:val="0007096E"/>
    <w:rsid w:val="000920E6"/>
    <w:rsid w:val="000C1D79"/>
    <w:rsid w:val="000D11FB"/>
    <w:rsid w:val="000E1EB1"/>
    <w:rsid w:val="000F3305"/>
    <w:rsid w:val="00136263"/>
    <w:rsid w:val="00170D48"/>
    <w:rsid w:val="001B3E26"/>
    <w:rsid w:val="001C2994"/>
    <w:rsid w:val="001D3441"/>
    <w:rsid w:val="001F4FFD"/>
    <w:rsid w:val="001F6885"/>
    <w:rsid w:val="001F7EBA"/>
    <w:rsid w:val="0022089C"/>
    <w:rsid w:val="00234EBB"/>
    <w:rsid w:val="00272CF1"/>
    <w:rsid w:val="002C1000"/>
    <w:rsid w:val="002D4986"/>
    <w:rsid w:val="002F3A19"/>
    <w:rsid w:val="003425EB"/>
    <w:rsid w:val="003E1CCF"/>
    <w:rsid w:val="003F328B"/>
    <w:rsid w:val="00414C68"/>
    <w:rsid w:val="0043526A"/>
    <w:rsid w:val="00487BF6"/>
    <w:rsid w:val="004A14EE"/>
    <w:rsid w:val="004B1FE6"/>
    <w:rsid w:val="004E241E"/>
    <w:rsid w:val="004F7FCA"/>
    <w:rsid w:val="00557CDE"/>
    <w:rsid w:val="005E0C6E"/>
    <w:rsid w:val="005F6D84"/>
    <w:rsid w:val="00647949"/>
    <w:rsid w:val="00671666"/>
    <w:rsid w:val="006A5221"/>
    <w:rsid w:val="006C31A0"/>
    <w:rsid w:val="006D2480"/>
    <w:rsid w:val="006D2D54"/>
    <w:rsid w:val="006F281F"/>
    <w:rsid w:val="007000E2"/>
    <w:rsid w:val="007102F3"/>
    <w:rsid w:val="00756B99"/>
    <w:rsid w:val="007E0400"/>
    <w:rsid w:val="00884C1A"/>
    <w:rsid w:val="008D118B"/>
    <w:rsid w:val="008D168D"/>
    <w:rsid w:val="009F4F2E"/>
    <w:rsid w:val="00A028A5"/>
    <w:rsid w:val="00A049F5"/>
    <w:rsid w:val="00A44A4E"/>
    <w:rsid w:val="00A6393D"/>
    <w:rsid w:val="00AB2358"/>
    <w:rsid w:val="00AB6EC0"/>
    <w:rsid w:val="00B36DFD"/>
    <w:rsid w:val="00B711C0"/>
    <w:rsid w:val="00B72854"/>
    <w:rsid w:val="00B8110F"/>
    <w:rsid w:val="00B94202"/>
    <w:rsid w:val="00B94731"/>
    <w:rsid w:val="00B961F7"/>
    <w:rsid w:val="00BE68B3"/>
    <w:rsid w:val="00CE5B79"/>
    <w:rsid w:val="00D57CA8"/>
    <w:rsid w:val="00D6333E"/>
    <w:rsid w:val="00D82B0C"/>
    <w:rsid w:val="00DC303E"/>
    <w:rsid w:val="00DC3D1B"/>
    <w:rsid w:val="00DD0C27"/>
    <w:rsid w:val="00DE7332"/>
    <w:rsid w:val="00DE77CB"/>
    <w:rsid w:val="00E00AE7"/>
    <w:rsid w:val="00E028C1"/>
    <w:rsid w:val="00EB4472"/>
    <w:rsid w:val="00ED563D"/>
    <w:rsid w:val="00EF33F6"/>
    <w:rsid w:val="00F9327C"/>
    <w:rsid w:val="00FE33B7"/>
    <w:rsid w:val="00FE47D2"/>
    <w:rsid w:val="08206278"/>
    <w:rsid w:val="14524F84"/>
    <w:rsid w:val="2D650101"/>
    <w:rsid w:val="2F3D7067"/>
    <w:rsid w:val="45A70E49"/>
    <w:rsid w:val="4936295E"/>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226</Words>
  <Characters>1292</Characters>
  <Lines>10</Lines>
  <Paragraphs>3</Paragraphs>
  <TotalTime>0</TotalTime>
  <ScaleCrop>false</ScaleCrop>
  <LinksUpToDate>false</LinksUpToDate>
  <CharactersWithSpaces>1515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2019-04-02T03:35:54Z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