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cs="宋体"/>
          <w:b/>
          <w:bCs/>
          <w:sz w:val="24"/>
        </w:rPr>
      </w:pPr>
      <w:r>
        <w:rPr>
          <w:rFonts w:hint="eastAsia" w:ascii="宋体" w:hAnsi="宋体" w:eastAsia="宋体" w:cs="宋体"/>
          <w:b/>
          <w:bCs/>
          <w:sz w:val="24"/>
        </w:rPr>
        <w:drawing>
          <wp:anchor distT="0" distB="0" distL="114300" distR="114300" simplePos="0" relativeHeight="251658240" behindDoc="0" locked="0" layoutInCell="1" allowOverlap="1">
            <wp:simplePos x="0" y="0"/>
            <wp:positionH relativeFrom="column">
              <wp:posOffset>1501140</wp:posOffset>
            </wp:positionH>
            <wp:positionV relativeFrom="paragraph">
              <wp:posOffset>-141605</wp:posOffset>
            </wp:positionV>
            <wp:extent cx="2286000" cy="723900"/>
            <wp:effectExtent l="0" t="0" r="0" b="0"/>
            <wp:wrapSquare wrapText="bothSides"/>
            <wp:docPr id="2" name="图片 2" descr="南昌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南昌大学"/>
                    <pic:cNvPicPr>
                      <a:picLocks noChangeAspect="1"/>
                    </pic:cNvPicPr>
                  </pic:nvPicPr>
                  <pic:blipFill>
                    <a:blip r:embed="rId5"/>
                    <a:stretch>
                      <a:fillRect/>
                    </a:stretch>
                  </pic:blipFill>
                  <pic:spPr>
                    <a:xfrm>
                      <a:off x="0" y="0"/>
                      <a:ext cx="2286000" cy="723900"/>
                    </a:xfrm>
                    <a:prstGeom prst="rect">
                      <a:avLst/>
                    </a:prstGeom>
                  </pic:spPr>
                </pic:pic>
              </a:graphicData>
            </a:graphic>
          </wp:anchor>
        </w:drawing>
      </w:r>
    </w:p>
    <w:p>
      <w:pPr>
        <w:spacing w:line="360" w:lineRule="auto"/>
        <w:jc w:val="center"/>
        <w:rPr>
          <w:rFonts w:ascii="宋体" w:hAnsi="宋体" w:eastAsia="宋体" w:cs="宋体"/>
          <w:b/>
          <w:bCs/>
          <w:sz w:val="24"/>
        </w:rPr>
      </w:pPr>
    </w:p>
    <w:p>
      <w:pPr>
        <w:spacing w:line="360" w:lineRule="auto"/>
        <w:jc w:val="center"/>
        <w:rPr>
          <w:rFonts w:ascii="宋体" w:hAnsi="宋体" w:eastAsia="宋体" w:cs="宋体"/>
          <w:b/>
          <w:bCs/>
          <w:sz w:val="24"/>
        </w:rPr>
      </w:pPr>
      <w:r>
        <w:rPr>
          <w:rFonts w:hint="eastAsia" w:ascii="宋体" w:hAnsi="宋体" w:eastAsia="宋体" w:cs="宋体"/>
          <w:b/>
          <w:bCs/>
          <w:sz w:val="24"/>
        </w:rPr>
        <w:t>南昌大学法学院宪法学与行政法学专业</w:t>
      </w:r>
    </w:p>
    <w:p>
      <w:pPr>
        <w:spacing w:line="360" w:lineRule="auto"/>
        <w:jc w:val="center"/>
        <w:rPr>
          <w:rFonts w:hint="eastAsia" w:ascii="宋体" w:hAnsi="宋体" w:eastAsia="宋体" w:cs="宋体"/>
          <w:b/>
          <w:bCs/>
          <w:sz w:val="24"/>
          <w:lang w:eastAsia="zh-CN"/>
        </w:rPr>
      </w:pPr>
      <w:r>
        <w:rPr>
          <w:rFonts w:hint="eastAsia" w:ascii="宋体" w:hAnsi="宋体" w:eastAsia="宋体" w:cs="宋体"/>
          <w:b/>
          <w:bCs/>
          <w:sz w:val="24"/>
        </w:rPr>
        <w:t>同等学力申请硕士学位招生简章·</w:t>
      </w:r>
      <w:r>
        <w:rPr>
          <w:rFonts w:hint="eastAsia" w:ascii="宋体" w:hAnsi="宋体" w:eastAsia="宋体" w:cs="宋体"/>
          <w:b/>
          <w:bCs/>
          <w:sz w:val="24"/>
          <w:lang w:eastAsia="zh-CN"/>
        </w:rPr>
        <w:t>全国</w:t>
      </w:r>
    </w:p>
    <w:p>
      <w:pPr>
        <w:spacing w:line="360" w:lineRule="auto"/>
        <w:jc w:val="left"/>
        <w:rPr>
          <w:rFonts w:ascii="宋体" w:hAnsi="宋体" w:eastAsia="宋体" w:cs="宋体"/>
          <w:szCs w:val="21"/>
        </w:rPr>
      </w:pP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是一所“文理工医渗透、学研产用结合”的综合性大学，是江西省人民政府和教育部共建的国家“211工程”重点建设大学。学校现有8个学术类博士学位授权一级学科，45个学术类硕士学位授权一级学科，1种博士专业学位授权和20种硕士专业学位授权以及在职人员以同等学力申请硕士学位授予权。</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一、专业简述</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法学院拥有1个社会治理与法治系统工程二级学科博士学位授权点、1个法学一级学科硕士学位授权点、非法学、法学2个法律硕士专业学位授权点、1个江西省品牌专业法学专业、刑法学、行政法与行政诉讼法学、刑事诉讼法学3门江西省优质课程。</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宪法学与行政法学是部门法学的重要组成部分，属公法范畴，是法学下设的二级学科。宪法学是以国家根本法为主要研究对象的科学，行政法学是以行政法规范为主要研究对象的科学。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为适应社会发展和经济建设的需要，提高教育、科技、管理等方面专业人员的素质，多渠道地促进宪法学与行政法学专业人才培养，经国务院学位委员会批准，特在</w:t>
      </w:r>
      <w:r>
        <w:rPr>
          <w:rFonts w:hint="eastAsia" w:ascii="宋体" w:hAnsi="宋体" w:eastAsia="宋体" w:cs="宋体"/>
          <w:color w:val="FF0000"/>
          <w:szCs w:val="21"/>
        </w:rPr>
        <w:t>xx</w:t>
      </w:r>
      <w:r>
        <w:rPr>
          <w:rFonts w:hint="eastAsia" w:ascii="宋体" w:hAnsi="宋体" w:eastAsia="宋体" w:cs="宋体"/>
          <w:szCs w:val="21"/>
        </w:rPr>
        <w:t>地区开展以研究生毕业宪法学与行政法学专业同等学力申请硕士学位招生及培养工作。</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二、培养目标</w:t>
      </w:r>
    </w:p>
    <w:p>
      <w:pPr>
        <w:spacing w:line="360" w:lineRule="auto"/>
        <w:ind w:firstLine="420" w:firstLineChars="200"/>
        <w:jc w:val="left"/>
        <w:rPr>
          <w:rFonts w:ascii="宋体" w:hAnsi="宋体" w:eastAsia="宋体" w:cs="宋体"/>
          <w:b/>
          <w:bCs/>
          <w:szCs w:val="21"/>
        </w:rPr>
      </w:pPr>
      <w:r>
        <w:rPr>
          <w:rFonts w:hint="eastAsia" w:ascii="宋体" w:hAnsi="宋体" w:eastAsia="宋体" w:cs="宋体"/>
          <w:szCs w:val="21"/>
        </w:rPr>
        <w:t>1、本专业培养掌握宪法学与行政法学基础知识和法学分析方法，能够运用宪法学与行政法学理论和方法解释、分析、处理现实问题，能独立承担本专业的教学科研任务及法律实务工作的高级法律专门人才；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2、毕业后可以在国家机关(法院、检察院、政府部门的公务员)、教学和科研单位、公司、企业从事行政、教学、科研、法律实务工作。</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三、专业优势</w:t>
      </w:r>
    </w:p>
    <w:p>
      <w:pPr>
        <w:pStyle w:val="15"/>
        <w:spacing w:line="360" w:lineRule="auto"/>
        <w:ind w:left="420" w:firstLine="0" w:firstLineChars="0"/>
        <w:rPr>
          <w:rFonts w:ascii="宋体" w:hAnsi="宋体" w:eastAsia="宋体" w:cs="宋体"/>
          <w:szCs w:val="21"/>
        </w:rPr>
      </w:pPr>
      <w:r>
        <w:rPr>
          <w:rFonts w:hint="eastAsia" w:ascii="宋体" w:hAnsi="宋体" w:eastAsia="宋体" w:cs="宋体"/>
          <w:szCs w:val="21"/>
        </w:rPr>
        <w:t>【重点学科】南昌大学法学学科系江西省高校“十二五”重点学科；</w:t>
      </w:r>
    </w:p>
    <w:p>
      <w:pPr>
        <w:spacing w:line="360" w:lineRule="auto"/>
        <w:ind w:firstLine="420" w:firstLineChars="200"/>
        <w:rPr>
          <w:rFonts w:ascii="宋体" w:hAnsi="宋体" w:eastAsia="宋体" w:cs="宋体"/>
          <w:szCs w:val="21"/>
        </w:rPr>
      </w:pPr>
      <w:r>
        <w:rPr>
          <w:rFonts w:hint="eastAsia" w:ascii="宋体" w:hAnsi="宋体" w:eastAsia="宋体" w:cs="宋体"/>
          <w:szCs w:val="21"/>
        </w:rPr>
        <w:t>【含金量高】成绩合格颁发南昌大学法学硕士学位，学位网可查</w:t>
      </w:r>
      <w:r>
        <w:rPr>
          <w:rFonts w:ascii="宋体" w:hAnsi="宋体" w:eastAsia="宋体" w:cs="宋体"/>
          <w:szCs w:val="21"/>
        </w:rPr>
        <w:t>，</w:t>
      </w:r>
      <w:r>
        <w:rPr>
          <w:rFonts w:hint="eastAsia" w:ascii="宋体" w:hAnsi="宋体" w:eastAsia="宋体" w:cs="宋体"/>
          <w:szCs w:val="21"/>
        </w:rPr>
        <w:t>含金量高；</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【性价比高】法学院同等学力申硕专业学费相较于其他211高校学费性价比高；</w:t>
      </w:r>
    </w:p>
    <w:p>
      <w:pPr>
        <w:spacing w:line="360" w:lineRule="auto"/>
        <w:ind w:firstLine="420" w:firstLineChars="200"/>
        <w:rPr>
          <w:rFonts w:ascii="宋体" w:hAnsi="宋体" w:eastAsia="宋体" w:cs="宋体"/>
          <w:szCs w:val="21"/>
        </w:rPr>
      </w:pPr>
      <w:r>
        <w:rPr>
          <w:rFonts w:hint="eastAsia" w:ascii="宋体" w:hAnsi="宋体" w:eastAsia="宋体" w:cs="宋体"/>
          <w:szCs w:val="21"/>
        </w:rPr>
        <w:t>【灵活授课】设</w:t>
      </w:r>
      <w:r>
        <w:rPr>
          <w:rFonts w:hint="eastAsia" w:ascii="宋体" w:hAnsi="宋体" w:eastAsia="宋体" w:cs="宋体"/>
          <w:color w:val="FF0000"/>
          <w:szCs w:val="21"/>
        </w:rPr>
        <w:t>xx</w:t>
      </w:r>
      <w:r>
        <w:rPr>
          <w:rFonts w:hint="eastAsia" w:ascii="宋体" w:hAnsi="宋体" w:eastAsia="宋体" w:cs="宋体"/>
          <w:szCs w:val="21"/>
        </w:rPr>
        <w:t>本地面授班、南昌本部集中班及全国远程班，学习方式灵活，学员可根据自身情况选择学习方式；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【申硕机会多】学校学制保留7年，达申硕条件即可申请每年5月同等学力申硕考试；</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【高通过率】设申硕考前辅导，360度全方位剖析考纲、考点，提高申硕通过率。</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四、招生条件</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1、本科毕业并获取学士学位者可报名参加在职研究生课程学习；</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2、获取学士学位后工作满三年以上者，可依据学位要求申请硕士学位。</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五、课程设置</w:t>
      </w:r>
    </w:p>
    <w:tbl>
      <w:tblPr>
        <w:tblStyle w:val="6"/>
        <w:tblW w:w="77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1"/>
        <w:gridCol w:w="6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公共课</w:t>
            </w:r>
          </w:p>
        </w:tc>
        <w:tc>
          <w:tcPr>
            <w:tcW w:w="6225" w:type="dxa"/>
            <w:vAlign w:val="center"/>
          </w:tcPr>
          <w:p>
            <w:pPr>
              <w:spacing w:line="360" w:lineRule="auto"/>
              <w:rPr>
                <w:rFonts w:ascii="宋体" w:hAnsi="宋体" w:eastAsia="宋体" w:cs="宋体"/>
                <w:szCs w:val="21"/>
              </w:rPr>
            </w:pPr>
            <w:r>
              <w:rPr>
                <w:rFonts w:hint="eastAsia" w:ascii="宋体" w:hAnsi="宋体" w:eastAsia="宋体" w:cs="宋体"/>
                <w:szCs w:val="21"/>
              </w:rPr>
              <w:t>英语、中国特色社会主义理论与实践、自然辩证法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专业核心课</w:t>
            </w:r>
          </w:p>
        </w:tc>
        <w:tc>
          <w:tcPr>
            <w:tcW w:w="6225" w:type="dxa"/>
            <w:vAlign w:val="center"/>
          </w:tcPr>
          <w:p>
            <w:pPr>
              <w:spacing w:line="360" w:lineRule="auto"/>
              <w:rPr>
                <w:rFonts w:ascii="宋体" w:hAnsi="宋体" w:eastAsia="宋体" w:cs="宋体"/>
                <w:szCs w:val="21"/>
              </w:rPr>
            </w:pPr>
            <w:r>
              <w:rPr>
                <w:rFonts w:hint="eastAsia" w:ascii="宋体" w:hAnsi="宋体" w:eastAsia="宋体" w:cs="宋体"/>
                <w:szCs w:val="21"/>
              </w:rPr>
              <w:t>法理学、中国宪法、行政法学基本理论、民法总论研究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专业方向课</w:t>
            </w:r>
          </w:p>
        </w:tc>
        <w:tc>
          <w:tcPr>
            <w:tcW w:w="6225" w:type="dxa"/>
            <w:vAlign w:val="center"/>
          </w:tcPr>
          <w:p>
            <w:pPr>
              <w:spacing w:line="360" w:lineRule="auto"/>
              <w:rPr>
                <w:rFonts w:ascii="宋体" w:hAnsi="宋体" w:eastAsia="宋体" w:cs="宋体"/>
                <w:szCs w:val="21"/>
              </w:rPr>
            </w:pPr>
            <w:r>
              <w:rPr>
                <w:rFonts w:hint="eastAsia" w:ascii="宋体" w:hAnsi="宋体" w:eastAsia="宋体" w:cs="宋体"/>
                <w:szCs w:val="21"/>
              </w:rPr>
              <w:t>诉讼法学术前沿讲座、宪政原理、行政法案例分析、</w:t>
            </w:r>
          </w:p>
          <w:p>
            <w:pPr>
              <w:spacing w:line="360" w:lineRule="auto"/>
              <w:rPr>
                <w:rFonts w:ascii="宋体" w:hAnsi="宋体" w:eastAsia="宋体" w:cs="宋体"/>
                <w:szCs w:val="21"/>
              </w:rPr>
            </w:pPr>
            <w:r>
              <w:rPr>
                <w:rFonts w:hint="eastAsia" w:ascii="宋体" w:hAnsi="宋体" w:eastAsia="宋体" w:cs="宋体"/>
                <w:szCs w:val="21"/>
              </w:rPr>
              <w:t>比较行政法学、国家赔偿法、比较宪法学、行政诉讼法学、</w:t>
            </w:r>
          </w:p>
          <w:p>
            <w:pPr>
              <w:spacing w:line="360" w:lineRule="auto"/>
              <w:rPr>
                <w:rFonts w:ascii="宋体" w:hAnsi="宋体" w:eastAsia="宋体" w:cs="宋体"/>
                <w:szCs w:val="21"/>
              </w:rPr>
            </w:pPr>
            <w:r>
              <w:rPr>
                <w:rFonts w:hint="eastAsia" w:ascii="宋体" w:hAnsi="宋体" w:eastAsia="宋体" w:cs="宋体"/>
                <w:szCs w:val="21"/>
              </w:rPr>
              <w:t>行政程序法专题、宪法学专题、行政立法专题、行政救济法专题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511" w:type="dxa"/>
            <w:vAlign w:val="center"/>
          </w:tcPr>
          <w:p>
            <w:pPr>
              <w:spacing w:line="360" w:lineRule="auto"/>
              <w:jc w:val="center"/>
              <w:rPr>
                <w:rFonts w:ascii="宋体" w:hAnsi="宋体" w:eastAsia="宋体" w:cs="宋体"/>
                <w:szCs w:val="21"/>
              </w:rPr>
            </w:pPr>
            <w:r>
              <w:rPr>
                <w:rFonts w:hint="eastAsia" w:ascii="宋体" w:hAnsi="宋体" w:eastAsia="宋体" w:cs="宋体"/>
                <w:szCs w:val="21"/>
              </w:rPr>
              <w:t>研究方向</w:t>
            </w:r>
          </w:p>
        </w:tc>
        <w:tc>
          <w:tcPr>
            <w:tcW w:w="6225" w:type="dxa"/>
            <w:vAlign w:val="center"/>
          </w:tcPr>
          <w:p>
            <w:pPr>
              <w:spacing w:line="360" w:lineRule="auto"/>
              <w:rPr>
                <w:rFonts w:ascii="宋体" w:hAnsi="宋体" w:eastAsia="宋体" w:cs="宋体"/>
                <w:szCs w:val="21"/>
              </w:rPr>
            </w:pPr>
            <w:r>
              <w:rPr>
                <w:rFonts w:hint="eastAsia" w:ascii="宋体" w:hAnsi="宋体" w:eastAsia="宋体" w:cs="宋体"/>
                <w:szCs w:val="21"/>
              </w:rPr>
              <w:t>行政诉讼法学、行政法学、宪法学</w:t>
            </w:r>
          </w:p>
        </w:tc>
      </w:tr>
    </w:tbl>
    <w:p>
      <w:pPr>
        <w:spacing w:line="360" w:lineRule="auto"/>
        <w:jc w:val="center"/>
        <w:rPr>
          <w:rFonts w:ascii="宋体" w:hAnsi="宋体" w:eastAsia="宋体" w:cs="宋体"/>
          <w:szCs w:val="21"/>
        </w:rPr>
      </w:pPr>
      <w:r>
        <w:rPr>
          <w:rFonts w:hint="eastAsia" w:ascii="宋体" w:hAnsi="宋体" w:eastAsia="宋体" w:cs="宋体"/>
          <w:szCs w:val="21"/>
        </w:rPr>
        <w:t>（注：课程以学校实际上课为准）</w:t>
      </w:r>
    </w:p>
    <w:p>
      <w:pPr>
        <w:spacing w:line="360" w:lineRule="auto"/>
        <w:jc w:val="left"/>
        <w:rPr>
          <w:rFonts w:ascii="宋体" w:hAnsi="宋体" w:eastAsia="宋体" w:cs="宋体"/>
          <w:b/>
          <w:bCs/>
          <w:szCs w:val="21"/>
        </w:rPr>
      </w:pPr>
      <w:r>
        <w:rPr>
          <w:rFonts w:hint="eastAsia" w:ascii="宋体" w:hAnsi="宋体" w:eastAsia="宋体" w:cs="宋体"/>
          <w:b/>
          <w:bCs/>
          <w:szCs w:val="21"/>
        </w:rPr>
        <w:t>六、收费标准</w:t>
      </w:r>
    </w:p>
    <w:p>
      <w:pPr>
        <w:spacing w:line="360" w:lineRule="auto"/>
        <w:ind w:firstLine="420" w:firstLineChars="200"/>
        <w:rPr>
          <w:rFonts w:ascii="宋体" w:hAnsi="宋体" w:eastAsia="宋体" w:cs="宋体"/>
          <w:szCs w:val="21"/>
        </w:rPr>
      </w:pPr>
      <w:r>
        <w:rPr>
          <w:rFonts w:hint="eastAsia" w:ascii="宋体" w:hAnsi="宋体" w:eastAsia="宋体" w:cs="宋体"/>
          <w:szCs w:val="21"/>
        </w:rPr>
        <w:t>学费：</w:t>
      </w:r>
      <w:r>
        <w:rPr>
          <w:rFonts w:hint="eastAsia" w:ascii="宋体" w:hAnsi="宋体" w:eastAsia="宋体" w:cs="宋体"/>
          <w:szCs w:val="21"/>
          <w:lang w:val="en-US" w:eastAsia="zh-CN"/>
        </w:rPr>
        <w:t>2</w:t>
      </w:r>
      <w:bookmarkStart w:id="0" w:name="_GoBack"/>
      <w:bookmarkEnd w:id="0"/>
      <w:r>
        <w:rPr>
          <w:rFonts w:hint="eastAsia" w:ascii="宋体" w:hAnsi="宋体" w:eastAsia="宋体" w:cs="宋体"/>
          <w:szCs w:val="21"/>
        </w:rPr>
        <w:t>6000元。</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七、培养方式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1、学习时间：学制两年；</w:t>
      </w:r>
    </w:p>
    <w:p>
      <w:pPr>
        <w:spacing w:line="360" w:lineRule="auto"/>
        <w:ind w:firstLine="420" w:firstLineChars="200"/>
        <w:rPr>
          <w:rFonts w:ascii="宋体" w:hAnsi="宋体" w:eastAsia="宋体" w:cs="宋体"/>
          <w:szCs w:val="21"/>
        </w:rPr>
      </w:pPr>
      <w:r>
        <w:rPr>
          <w:rFonts w:hint="eastAsia" w:ascii="宋体" w:hAnsi="宋体" w:eastAsia="宋体" w:cs="宋体"/>
          <w:szCs w:val="21"/>
        </w:rPr>
        <w:t>2、授课方式：面授班利用周末及公众节假日上课；</w:t>
      </w:r>
      <w:r>
        <w:rPr>
          <w:rFonts w:ascii="宋体" w:hAnsi="宋体" w:eastAsia="宋体" w:cs="宋体"/>
          <w:szCs w:val="21"/>
        </w:rPr>
        <w:t>集中班利用</w:t>
      </w:r>
      <w:r>
        <w:rPr>
          <w:rFonts w:hint="eastAsia" w:ascii="宋体" w:hAnsi="宋体" w:eastAsia="宋体" w:cs="宋体"/>
          <w:szCs w:val="21"/>
        </w:rPr>
        <w:t>假期集中面授；远程班</w:t>
      </w:r>
      <w:r>
        <w:rPr>
          <w:rFonts w:ascii="宋体" w:hAnsi="宋体" w:eastAsia="宋体" w:cs="宋体"/>
          <w:szCs w:val="21"/>
        </w:rPr>
        <w:t>不</w:t>
      </w:r>
      <w:r>
        <w:rPr>
          <w:rFonts w:hint="eastAsia" w:ascii="宋体" w:hAnsi="宋体" w:eastAsia="宋体" w:cs="宋体"/>
          <w:szCs w:val="21"/>
        </w:rPr>
        <w:t>受</w:t>
      </w:r>
      <w:r>
        <w:rPr>
          <w:rFonts w:ascii="宋体" w:hAnsi="宋体" w:eastAsia="宋体" w:cs="宋体"/>
          <w:szCs w:val="21"/>
        </w:rPr>
        <w:t>时间和空间限制学员自行网络学习</w:t>
      </w:r>
      <w:r>
        <w:rPr>
          <w:rFonts w:hint="eastAsia" w:ascii="宋体" w:hAnsi="宋体" w:eastAsia="宋体" w:cs="宋体"/>
          <w:szCs w:val="21"/>
        </w:rPr>
        <w:t>。学习期间采取理论与实践相结合、课堂讲授与自学相结合的方式。</w:t>
      </w:r>
    </w:p>
    <w:p>
      <w:pPr>
        <w:spacing w:line="360" w:lineRule="auto"/>
        <w:ind w:firstLine="420" w:firstLineChars="200"/>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八、报名手续</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1、预约报名；</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2、提交本人学位证书、毕业证书和身份证复印件各一份；</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3、交1寸和2寸免冠照片6张。</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九、获取证书</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申请人自资格审查合格之日起，必须在七年之内修完所申请专业硕士研究生培养方案规定的课程，按要求参加考试，取得合格成绩，修满规定的学分；在省级学术刊物发表一篇与所学专业相关的学术论文（第一作者或独立完成），并通过同等学力人员申请硕士学位外国语水平全国统一考试和学科综合水平全国统一考试，进行硕士学位论文答辩。通过同等学力水平认定，经我校学位委员会批准，授予硕士学位并颁发学位证书。</w:t>
      </w:r>
    </w:p>
    <w:p>
      <w:pPr>
        <w:spacing w:line="360" w:lineRule="auto"/>
        <w:jc w:val="left"/>
        <w:rPr>
          <w:rFonts w:ascii="宋体" w:hAnsi="宋体" w:eastAsia="宋体" w:cs="宋体"/>
          <w:szCs w:val="21"/>
        </w:rPr>
      </w:pPr>
    </w:p>
    <w:p>
      <w:pPr>
        <w:spacing w:line="360" w:lineRule="auto"/>
        <w:jc w:val="left"/>
        <w:rPr>
          <w:rFonts w:ascii="宋体" w:hAnsi="宋体" w:eastAsia="宋体" w:cs="宋体"/>
          <w:b/>
          <w:bCs/>
          <w:szCs w:val="21"/>
        </w:rPr>
      </w:pPr>
      <w:r>
        <w:rPr>
          <w:rFonts w:hint="eastAsia" w:ascii="宋体" w:hAnsi="宋体" w:eastAsia="宋体" w:cs="宋体"/>
          <w:b/>
          <w:bCs/>
          <w:szCs w:val="21"/>
        </w:rPr>
        <w:t>十、联系方式</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南昌大学xx教学中心</w:t>
      </w:r>
    </w:p>
    <w:p>
      <w:pPr>
        <w:spacing w:line="360" w:lineRule="auto"/>
        <w:ind w:firstLine="420" w:firstLineChars="200"/>
        <w:jc w:val="left"/>
        <w:rPr>
          <w:rFonts w:ascii="宋体" w:hAnsi="宋体" w:eastAsia="宋体" w:cs="宋体"/>
          <w:szCs w:val="21"/>
        </w:rPr>
      </w:pPr>
      <w:r>
        <w:rPr>
          <w:rFonts w:hint="eastAsia" w:ascii="宋体" w:hAnsi="宋体" w:eastAsia="宋体" w:cs="宋体"/>
          <w:szCs w:val="21"/>
        </w:rPr>
        <w:t>电话：4</w:t>
      </w:r>
      <w:r>
        <w:rPr>
          <w:rFonts w:ascii="宋体" w:hAnsi="宋体" w:eastAsia="宋体" w:cs="宋体"/>
          <w:szCs w:val="21"/>
        </w:rPr>
        <w:t>00</w:t>
      </w:r>
      <w:r>
        <w:rPr>
          <w:rFonts w:hint="eastAsia" w:ascii="宋体" w:hAnsi="宋体" w:eastAsia="宋体" w:cs="宋体"/>
          <w:szCs w:val="21"/>
        </w:rPr>
        <w:t>-</w:t>
      </w:r>
      <w:r>
        <w:rPr>
          <w:rFonts w:ascii="宋体" w:hAnsi="宋体" w:eastAsia="宋体" w:cs="宋体"/>
          <w:szCs w:val="21"/>
        </w:rPr>
        <w:t>061</w:t>
      </w:r>
      <w:r>
        <w:rPr>
          <w:rFonts w:hint="eastAsia" w:ascii="宋体" w:hAnsi="宋体" w:eastAsia="宋体" w:cs="宋体"/>
          <w:szCs w:val="21"/>
        </w:rPr>
        <w:t>-</w:t>
      </w:r>
      <w:r>
        <w:rPr>
          <w:rFonts w:ascii="宋体" w:hAnsi="宋体" w:eastAsia="宋体" w:cs="宋体"/>
          <w:szCs w:val="21"/>
        </w:rPr>
        <w:t>6586</w:t>
      </w: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spacing w:line="360" w:lineRule="auto"/>
        <w:jc w:val="left"/>
        <w:rPr>
          <w:rFonts w:ascii="宋体" w:hAnsi="宋体" w:eastAsia="宋体" w:cs="宋体"/>
          <w:szCs w:val="21"/>
        </w:rPr>
      </w:pPr>
    </w:p>
    <w:p>
      <w:pPr>
        <w:ind w:firstLine="120" w:firstLineChars="50"/>
        <w:rPr>
          <w:rFonts w:hint="eastAsia" w:ascii="宋体" w:hAnsi="宋体"/>
          <w:sz w:val="24"/>
        </w:rPr>
      </w:pPr>
      <w:r>
        <w:rPr>
          <w:rFonts w:hint="eastAsia" w:ascii="宋体" w:hAnsi="宋体"/>
          <w:sz w:val="24"/>
        </w:rPr>
        <w:t>学号：_________________</w:t>
      </w:r>
    </w:p>
    <w:p>
      <w:pPr>
        <w:ind w:firstLine="360" w:firstLineChars="150"/>
        <w:rPr>
          <w:rFonts w:hint="eastAsia" w:ascii="黑体" w:hAnsi="宋体" w:eastAsia="黑体"/>
          <w:sz w:val="32"/>
          <w:szCs w:val="32"/>
        </w:rPr>
      </w:pPr>
      <w:r>
        <w:rPr>
          <w:rFonts w:hint="eastAsia" w:ascii="宋体" w:hAnsi="宋体"/>
          <w:sz w:val="24"/>
          <w:lang w:val="en-US" w:eastAsia="zh-CN"/>
        </w:rPr>
        <mc:AlternateContent>
          <mc:Choice Requires="wps">
            <w:drawing>
              <wp:anchor distT="0" distB="0" distL="114300" distR="114300" simplePos="0" relativeHeight="251660288" behindDoc="0" locked="0" layoutInCell="1" allowOverlap="1">
                <wp:simplePos x="0" y="0"/>
                <wp:positionH relativeFrom="column">
                  <wp:posOffset>4259580</wp:posOffset>
                </wp:positionH>
                <wp:positionV relativeFrom="paragraph">
                  <wp:posOffset>24765</wp:posOffset>
                </wp:positionV>
                <wp:extent cx="1466215" cy="304800"/>
                <wp:effectExtent l="9525" t="9525" r="10160" b="9525"/>
                <wp:wrapNone/>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1466215" cy="304800"/>
                        </a:xfrm>
                        <a:prstGeom prst="rect">
                          <a:avLst/>
                        </a:prstGeom>
                        <a:solidFill>
                          <a:srgbClr val="FFFFFF"/>
                        </a:solidFill>
                        <a:ln w="9525">
                          <a:solidFill>
                            <a:srgbClr val="FFFFFF"/>
                          </a:solidFill>
                          <a:miter lim="800000"/>
                        </a:ln>
                        <a:effectLst/>
                      </wps:spPr>
                      <wps:txbx>
                        <w:txbxContent>
                          <w:p>
                            <w:pPr>
                              <w:widowControl/>
                              <w:rPr>
                                <w:rFonts w:hint="eastAsia" w:ascii="宋体" w:hAnsi="宋体" w:cs="宋体"/>
                                <w:color w:val="000000"/>
                                <w:kern w:val="0"/>
                                <w:szCs w:val="21"/>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35.4pt;margin-top:1.95pt;height:24pt;width:115.45pt;z-index:251660288;mso-width-relative:page;mso-height-relative:page;" fillcolor="#FFFFFF" filled="t" stroked="t" coordsize="21600,21600" o:gfxdata="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PhzHJbXAAAACAEAAA8AAAAAAAAAAQAgAAAAIgAAAGRycy9kb3ducmV2LnhtbFBLAQIUABQAAAAI&#10;AIdO4kAHMtkwJwIAAEcEAAAOAAAAAAAAAAEAIAAAACYBAABkcnMvZTJvRG9jLnhtbFBLBQYAAAAA&#10;BgAGAFkBAAC/BQAAAAA=&#10;">
                <v:fill on="t" focussize="0,0"/>
                <v:stroke color="#FFFFFF" miterlimit="8" joinstyle="miter"/>
                <v:imagedata o:title=""/>
                <o:lock v:ext="edit" aspectratio="f"/>
                <v:textbox>
                  <w:txbxContent>
                    <w:p>
                      <w:pPr>
                        <w:widowControl/>
                        <w:rPr>
                          <w:rFonts w:hint="eastAsia" w:ascii="宋体" w:hAnsi="宋体" w:cs="宋体"/>
                          <w:color w:val="000000"/>
                          <w:kern w:val="0"/>
                          <w:szCs w:val="21"/>
                        </w:rPr>
                      </w:pPr>
                    </w:p>
                  </w:txbxContent>
                </v:textbox>
              </v:shape>
            </w:pict>
          </mc:Fallback>
        </mc:AlternateContent>
      </w:r>
      <w:r>
        <w:rPr>
          <w:rFonts w:hint="eastAsia" w:ascii="宋体" w:hAnsi="宋体"/>
          <w:sz w:val="24"/>
        </w:rPr>
        <w:t xml:space="preserve"> </w:t>
      </w:r>
      <w:r>
        <w:rPr>
          <w:rFonts w:hint="eastAsia" w:ascii="宋体" w:hAnsi="宋体"/>
          <w:b/>
          <w:sz w:val="36"/>
          <w:szCs w:val="36"/>
        </w:rPr>
        <w:t xml:space="preserve">  </w:t>
      </w:r>
      <w:r>
        <w:rPr>
          <w:rFonts w:hint="eastAsia" w:ascii="宋体" w:hAnsi="宋体"/>
          <w:b/>
          <w:sz w:val="30"/>
          <w:szCs w:val="30"/>
        </w:rPr>
        <w:t xml:space="preserve"> </w:t>
      </w:r>
      <w:r>
        <w:rPr>
          <w:rFonts w:ascii="宋体" w:hAnsi="宋体"/>
          <w:b/>
          <w:sz w:val="30"/>
          <w:szCs w:val="30"/>
        </w:rPr>
        <w:t xml:space="preserve">       </w:t>
      </w:r>
      <w:r>
        <w:rPr>
          <w:rFonts w:hint="eastAsia" w:ascii="宋体" w:hAnsi="宋体"/>
          <w:b/>
          <w:sz w:val="30"/>
          <w:szCs w:val="30"/>
        </w:rPr>
        <w:t>南昌</w:t>
      </w:r>
      <w:r>
        <w:rPr>
          <w:rFonts w:hint="eastAsia" w:ascii="宋体" w:hAnsi="宋体"/>
          <w:b/>
          <w:sz w:val="32"/>
          <w:szCs w:val="32"/>
        </w:rPr>
        <w:t>大学</w:t>
      </w:r>
      <w:r>
        <w:rPr>
          <w:rFonts w:hint="eastAsia" w:ascii="黑体" w:hAnsi="宋体" w:eastAsia="黑体"/>
          <w:bCs/>
          <w:sz w:val="32"/>
          <w:szCs w:val="32"/>
        </w:rPr>
        <w:t>报名登记表</w:t>
      </w:r>
    </w:p>
    <w:tbl>
      <w:tblPr>
        <w:tblStyle w:val="5"/>
        <w:tblW w:w="882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797"/>
        <w:gridCol w:w="454"/>
        <w:gridCol w:w="894"/>
        <w:gridCol w:w="996"/>
        <w:gridCol w:w="425"/>
        <w:gridCol w:w="471"/>
        <w:gridCol w:w="1087"/>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897" w:type="dxa"/>
            <w:vAlign w:val="center"/>
          </w:tcPr>
          <w:p>
            <w:pPr>
              <w:jc w:val="center"/>
              <w:rPr>
                <w:rFonts w:hint="eastAsia" w:ascii="宋体" w:hAnsi="宋体"/>
                <w:szCs w:val="21"/>
              </w:rPr>
            </w:pPr>
            <w:r>
              <w:rPr>
                <w:rFonts w:hint="eastAsia" w:ascii="宋体" w:hAnsi="宋体"/>
                <w:szCs w:val="21"/>
              </w:rPr>
              <w:t>专业</w:t>
            </w:r>
          </w:p>
          <w:p>
            <w:pPr>
              <w:jc w:val="center"/>
              <w:rPr>
                <w:rFonts w:hint="eastAsia"/>
                <w:szCs w:val="21"/>
              </w:rPr>
            </w:pPr>
            <w:r>
              <w:rPr>
                <w:rFonts w:hint="eastAsia" w:ascii="宋体" w:hAnsi="宋体"/>
                <w:szCs w:val="21"/>
              </w:rPr>
              <w:t>名称</w:t>
            </w:r>
          </w:p>
        </w:tc>
        <w:tc>
          <w:tcPr>
            <w:tcW w:w="2251" w:type="dxa"/>
            <w:gridSpan w:val="2"/>
            <w:vAlign w:val="center"/>
          </w:tcPr>
          <w:p>
            <w:pPr>
              <w:jc w:val="center"/>
              <w:rPr>
                <w:rFonts w:hint="eastAsia"/>
                <w:szCs w:val="21"/>
              </w:rPr>
            </w:pPr>
            <w:r>
              <w:rPr>
                <w:rFonts w:hint="eastAsia"/>
                <w:szCs w:val="21"/>
              </w:rPr>
              <w:t xml:space="preserve">    </w:t>
            </w:r>
          </w:p>
        </w:tc>
        <w:tc>
          <w:tcPr>
            <w:tcW w:w="894" w:type="dxa"/>
            <w:vAlign w:val="center"/>
          </w:tcPr>
          <w:p>
            <w:pPr>
              <w:jc w:val="center"/>
              <w:rPr>
                <w:rFonts w:hint="eastAsia" w:ascii="宋体" w:hAnsi="宋体"/>
                <w:szCs w:val="21"/>
              </w:rPr>
            </w:pPr>
            <w:r>
              <w:rPr>
                <w:rFonts w:hint="eastAsia" w:ascii="宋体" w:hAnsi="宋体"/>
                <w:szCs w:val="21"/>
              </w:rPr>
              <w:t>所在</w:t>
            </w:r>
          </w:p>
          <w:p>
            <w:pPr>
              <w:jc w:val="center"/>
              <w:rPr>
                <w:szCs w:val="21"/>
              </w:rPr>
            </w:pPr>
            <w:r>
              <w:rPr>
                <w:rFonts w:hint="eastAsia" w:ascii="宋体" w:hAnsi="宋体"/>
                <w:szCs w:val="21"/>
              </w:rPr>
              <w:t>院系</w:t>
            </w:r>
          </w:p>
        </w:tc>
        <w:tc>
          <w:tcPr>
            <w:tcW w:w="2979" w:type="dxa"/>
            <w:gridSpan w:val="4"/>
            <w:vAlign w:val="center"/>
          </w:tcPr>
          <w:p>
            <w:pPr>
              <w:jc w:val="center"/>
              <w:rPr>
                <w:rFonts w:hint="eastAsia"/>
                <w:szCs w:val="21"/>
              </w:rPr>
            </w:pPr>
          </w:p>
        </w:tc>
        <w:tc>
          <w:tcPr>
            <w:tcW w:w="1799" w:type="dxa"/>
            <w:vMerge w:val="restart"/>
            <w:vAlign w:val="center"/>
          </w:tcPr>
          <w:p>
            <w:pPr>
              <w:rPr>
                <w:rFonts w:hint="eastAsia"/>
              </w:rPr>
            </w:pPr>
            <w:r>
              <w:rPr>
                <w:rFonts w:hint="eastAsia"/>
              </w:rPr>
              <w:t>照</w:t>
            </w:r>
          </w:p>
          <w:p>
            <w:pPr>
              <w:rPr>
                <w:sz w:val="24"/>
              </w:rPr>
            </w:pPr>
            <w:r>
              <w:rPr>
                <w:rFonts w:hint="eastAsia"/>
              </w:rPr>
              <w:t>片（贴1寸照片）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7" w:hRule="atLeast"/>
        </w:trPr>
        <w:tc>
          <w:tcPr>
            <w:tcW w:w="897" w:type="dxa"/>
            <w:vAlign w:val="center"/>
          </w:tcPr>
          <w:p>
            <w:pPr>
              <w:jc w:val="center"/>
              <w:rPr>
                <w:rFonts w:hint="eastAsia"/>
              </w:rPr>
            </w:pPr>
            <w:r>
              <w:rPr>
                <w:rFonts w:hint="eastAsia"/>
              </w:rPr>
              <w:t>报名</w:t>
            </w:r>
          </w:p>
          <w:p>
            <w:pPr>
              <w:jc w:val="center"/>
              <w:rPr>
                <w:rFonts w:hint="eastAsia" w:ascii="宋体" w:hAnsi="宋体"/>
                <w:szCs w:val="21"/>
              </w:rPr>
            </w:pPr>
            <w:r>
              <w:rPr>
                <w:rFonts w:hint="eastAsia"/>
              </w:rPr>
              <w:t>时间</w:t>
            </w:r>
          </w:p>
        </w:tc>
        <w:tc>
          <w:tcPr>
            <w:tcW w:w="2251" w:type="dxa"/>
            <w:gridSpan w:val="2"/>
            <w:vAlign w:val="center"/>
          </w:tcPr>
          <w:p>
            <w:pPr>
              <w:jc w:val="center"/>
              <w:rPr>
                <w:rFonts w:hint="eastAsia"/>
                <w:szCs w:val="21"/>
              </w:rPr>
            </w:pPr>
          </w:p>
        </w:tc>
        <w:tc>
          <w:tcPr>
            <w:tcW w:w="894" w:type="dxa"/>
            <w:vAlign w:val="center"/>
          </w:tcPr>
          <w:p>
            <w:pPr>
              <w:jc w:val="center"/>
              <w:rPr>
                <w:rFonts w:hint="eastAsia" w:ascii="宋体" w:hAnsi="宋体"/>
                <w:szCs w:val="21"/>
              </w:rPr>
            </w:pPr>
            <w:r>
              <w:rPr>
                <w:rFonts w:hint="eastAsia" w:ascii="宋体" w:hAnsi="宋体"/>
                <w:szCs w:val="21"/>
              </w:rPr>
              <w:t>上课</w:t>
            </w:r>
          </w:p>
          <w:p>
            <w:pPr>
              <w:jc w:val="center"/>
              <w:rPr>
                <w:rFonts w:hint="eastAsia" w:ascii="宋体" w:hAnsi="宋体"/>
                <w:szCs w:val="21"/>
              </w:rPr>
            </w:pPr>
            <w:r>
              <w:rPr>
                <w:rFonts w:hint="eastAsia" w:ascii="宋体" w:hAnsi="宋体"/>
                <w:szCs w:val="21"/>
              </w:rPr>
              <w:t>地点</w:t>
            </w:r>
          </w:p>
        </w:tc>
        <w:tc>
          <w:tcPr>
            <w:tcW w:w="2979" w:type="dxa"/>
            <w:gridSpan w:val="4"/>
            <w:vAlign w:val="center"/>
          </w:tcPr>
          <w:p>
            <w:pPr>
              <w:jc w:val="center"/>
              <w:rPr>
                <w:rFonts w:hint="eastAsia"/>
                <w:szCs w:val="21"/>
              </w:rPr>
            </w:pPr>
          </w:p>
        </w:tc>
        <w:tc>
          <w:tcPr>
            <w:tcW w:w="1799" w:type="dxa"/>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7" w:type="dxa"/>
            <w:vAlign w:val="center"/>
          </w:tcPr>
          <w:p>
            <w:pPr>
              <w:jc w:val="center"/>
              <w:rPr>
                <w:rFonts w:hint="eastAsia"/>
              </w:rPr>
            </w:pPr>
            <w:r>
              <w:rPr>
                <w:rFonts w:hint="eastAsia"/>
              </w:rPr>
              <w:t>姓名</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出生</w:t>
            </w:r>
          </w:p>
          <w:p>
            <w:pPr>
              <w:jc w:val="center"/>
              <w:rPr>
                <w:rFonts w:hint="eastAsia"/>
              </w:rPr>
            </w:pPr>
            <w:r>
              <w:rPr>
                <w:rFonts w:hint="eastAsia"/>
              </w:rPr>
              <w:t>年月日</w:t>
            </w:r>
          </w:p>
        </w:tc>
        <w:tc>
          <w:tcPr>
            <w:tcW w:w="1421" w:type="dxa"/>
            <w:gridSpan w:val="2"/>
            <w:vAlign w:val="center"/>
          </w:tcPr>
          <w:p>
            <w:pPr>
              <w:jc w:val="center"/>
              <w:rPr>
                <w:rFonts w:hint="eastAsia"/>
                <w:color w:val="808080"/>
              </w:rPr>
            </w:pPr>
          </w:p>
        </w:tc>
        <w:tc>
          <w:tcPr>
            <w:tcW w:w="1558" w:type="dxa"/>
            <w:gridSpan w:val="2"/>
            <w:vAlign w:val="center"/>
          </w:tcPr>
          <w:p>
            <w:pPr>
              <w:widowControl/>
              <w:jc w:val="center"/>
              <w:rPr>
                <w:rFonts w:hint="eastAsia" w:ascii="宋体" w:hAnsi="宋体" w:cs="宋体"/>
                <w:color w:val="000000"/>
                <w:kern w:val="0"/>
                <w:szCs w:val="21"/>
              </w:rPr>
            </w:pPr>
            <w:r>
              <w:rPr>
                <w:rFonts w:hint="eastAsia" w:ascii="宋体" w:hAnsi="宋体" w:cs="宋体"/>
                <w:color w:val="000000"/>
                <w:kern w:val="0"/>
                <w:szCs w:val="21"/>
              </w:rPr>
              <w:t>已婚□</w:t>
            </w:r>
          </w:p>
          <w:p>
            <w:pPr>
              <w:widowControl/>
              <w:jc w:val="center"/>
              <w:rPr>
                <w:rFonts w:ascii="宋体" w:hAnsi="宋体" w:cs="宋体"/>
                <w:color w:val="000000"/>
                <w:kern w:val="0"/>
                <w:szCs w:val="21"/>
              </w:rPr>
            </w:pPr>
            <w:r>
              <w:rPr>
                <w:rFonts w:hint="eastAsia" w:ascii="宋体" w:hAnsi="宋体" w:cs="宋体"/>
                <w:color w:val="000000"/>
                <w:kern w:val="0"/>
                <w:szCs w:val="21"/>
              </w:rPr>
              <w:t>未婚□</w:t>
            </w: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897" w:type="dxa"/>
            <w:vAlign w:val="center"/>
          </w:tcPr>
          <w:p>
            <w:pPr>
              <w:jc w:val="center"/>
              <w:rPr>
                <w:rFonts w:hint="eastAsia"/>
              </w:rPr>
            </w:pPr>
            <w:r>
              <w:rPr>
                <w:rFonts w:hint="eastAsia"/>
              </w:rPr>
              <w:t>性别</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籍贯</w:t>
            </w:r>
          </w:p>
        </w:tc>
        <w:tc>
          <w:tcPr>
            <w:tcW w:w="2979" w:type="dxa"/>
            <w:gridSpan w:val="4"/>
            <w:vAlign w:val="center"/>
          </w:tcPr>
          <w:p>
            <w:pPr>
              <w:jc w:val="center"/>
              <w:rPr>
                <w:rFonts w:hint="eastAsia"/>
              </w:rPr>
            </w:pPr>
          </w:p>
        </w:tc>
        <w:tc>
          <w:tcPr>
            <w:tcW w:w="1799" w:type="dxa"/>
            <w:vMerge w:val="continue"/>
            <w:vAlign w:val="center"/>
          </w:tcPr>
          <w:p>
            <w:pPr>
              <w:ind w:firstLine="630" w:firstLineChars="300"/>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政治</w:t>
            </w:r>
          </w:p>
          <w:p>
            <w:pPr>
              <w:jc w:val="center"/>
              <w:rPr>
                <w:rFonts w:hint="eastAsia"/>
              </w:rPr>
            </w:pPr>
            <w:r>
              <w:rPr>
                <w:rFonts w:hint="eastAsia"/>
              </w:rPr>
              <w:t>面貌</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民族</w:t>
            </w:r>
          </w:p>
        </w:tc>
        <w:tc>
          <w:tcPr>
            <w:tcW w:w="1421" w:type="dxa"/>
            <w:gridSpan w:val="2"/>
            <w:vAlign w:val="center"/>
          </w:tcPr>
          <w:p>
            <w:pPr>
              <w:jc w:val="center"/>
              <w:rPr>
                <w:rFonts w:hint="eastAsia"/>
              </w:rPr>
            </w:pPr>
          </w:p>
        </w:tc>
        <w:tc>
          <w:tcPr>
            <w:tcW w:w="1558" w:type="dxa"/>
            <w:gridSpan w:val="2"/>
            <w:vAlign w:val="center"/>
          </w:tcPr>
          <w:p>
            <w:pPr>
              <w:jc w:val="center"/>
              <w:rPr>
                <w:rFonts w:hint="eastAsia"/>
              </w:rPr>
            </w:pPr>
            <w:r>
              <w:rPr>
                <w:rFonts w:hint="eastAsia"/>
              </w:rPr>
              <w:t>最后</w:t>
            </w:r>
          </w:p>
          <w:p>
            <w:pPr>
              <w:jc w:val="center"/>
              <w:rPr>
                <w:rFonts w:hint="eastAsia"/>
              </w:rPr>
            </w:pPr>
            <w:r>
              <w:rPr>
                <w:rFonts w:hint="eastAsia"/>
              </w:rPr>
              <w:t>学历</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身份 证号</w:t>
            </w:r>
          </w:p>
        </w:tc>
        <w:tc>
          <w:tcPr>
            <w:tcW w:w="7923" w:type="dxa"/>
            <w:gridSpan w:val="8"/>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trPr>
        <w:tc>
          <w:tcPr>
            <w:tcW w:w="897" w:type="dxa"/>
            <w:vAlign w:val="center"/>
          </w:tcPr>
          <w:p>
            <w:pPr>
              <w:jc w:val="center"/>
              <w:rPr>
                <w:rFonts w:hint="eastAsia"/>
              </w:rPr>
            </w:pPr>
            <w:r>
              <w:rPr>
                <w:rFonts w:hint="eastAsia"/>
              </w:rPr>
              <w:t>手机 号码</w:t>
            </w:r>
          </w:p>
        </w:tc>
        <w:tc>
          <w:tcPr>
            <w:tcW w:w="4141" w:type="dxa"/>
            <w:gridSpan w:val="4"/>
            <w:vAlign w:val="center"/>
          </w:tcPr>
          <w:p>
            <w:pPr>
              <w:jc w:val="center"/>
              <w:rPr>
                <w:rFonts w:hint="eastAsia"/>
              </w:rPr>
            </w:pPr>
          </w:p>
        </w:tc>
        <w:tc>
          <w:tcPr>
            <w:tcW w:w="1983" w:type="dxa"/>
            <w:gridSpan w:val="3"/>
            <w:vAlign w:val="center"/>
          </w:tcPr>
          <w:p>
            <w:pPr>
              <w:jc w:val="center"/>
              <w:rPr>
                <w:rFonts w:hint="eastAsia"/>
              </w:rPr>
            </w:pPr>
            <w:r>
              <w:rPr>
                <w:rFonts w:hint="eastAsia"/>
              </w:rPr>
              <w:t>电子邮箱</w:t>
            </w:r>
          </w:p>
        </w:tc>
        <w:tc>
          <w:tcPr>
            <w:tcW w:w="1799" w:type="dxa"/>
            <w:vAlign w:val="center"/>
          </w:tcPr>
          <w:p>
            <w:pPr>
              <w:ind w:firstLine="315" w:firstLineChars="150"/>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897" w:type="dxa"/>
            <w:vAlign w:val="center"/>
          </w:tcPr>
          <w:p>
            <w:pPr>
              <w:jc w:val="center"/>
              <w:rPr>
                <w:rFonts w:hint="eastAsia"/>
              </w:rPr>
            </w:pPr>
            <w:r>
              <w:rPr>
                <w:rFonts w:hint="eastAsia"/>
              </w:rPr>
              <w:t>毕业</w:t>
            </w:r>
          </w:p>
          <w:p>
            <w:pPr>
              <w:jc w:val="center"/>
              <w:rPr>
                <w:rFonts w:hint="eastAsia"/>
              </w:rPr>
            </w:pPr>
            <w:r>
              <w:rPr>
                <w:rFonts w:hint="eastAsia"/>
              </w:rPr>
              <w:t>学校</w:t>
            </w:r>
          </w:p>
        </w:tc>
        <w:tc>
          <w:tcPr>
            <w:tcW w:w="2251" w:type="dxa"/>
            <w:gridSpan w:val="2"/>
            <w:vAlign w:val="center"/>
          </w:tcPr>
          <w:p>
            <w:pPr>
              <w:jc w:val="center"/>
              <w:rPr>
                <w:rFonts w:hint="eastAsia"/>
              </w:rPr>
            </w:pPr>
          </w:p>
        </w:tc>
        <w:tc>
          <w:tcPr>
            <w:tcW w:w="894" w:type="dxa"/>
            <w:vAlign w:val="center"/>
          </w:tcPr>
          <w:p>
            <w:pPr>
              <w:jc w:val="center"/>
              <w:rPr>
                <w:rFonts w:hint="eastAsia"/>
              </w:rPr>
            </w:pPr>
            <w:r>
              <w:rPr>
                <w:rFonts w:hint="eastAsia"/>
              </w:rPr>
              <w:t>所学</w:t>
            </w:r>
          </w:p>
          <w:p>
            <w:pPr>
              <w:jc w:val="center"/>
              <w:rPr>
                <w:rFonts w:hint="eastAsia"/>
              </w:rPr>
            </w:pPr>
            <w:r>
              <w:rPr>
                <w:rFonts w:hint="eastAsia"/>
              </w:rPr>
              <w:t>专业</w:t>
            </w:r>
          </w:p>
        </w:tc>
        <w:tc>
          <w:tcPr>
            <w:tcW w:w="1892" w:type="dxa"/>
            <w:gridSpan w:val="3"/>
            <w:vAlign w:val="center"/>
          </w:tcPr>
          <w:p>
            <w:pPr>
              <w:jc w:val="center"/>
              <w:rPr>
                <w:rFonts w:hint="eastAsia"/>
              </w:rPr>
            </w:pPr>
          </w:p>
        </w:tc>
        <w:tc>
          <w:tcPr>
            <w:tcW w:w="1087" w:type="dxa"/>
            <w:vAlign w:val="center"/>
          </w:tcPr>
          <w:p>
            <w:pPr>
              <w:jc w:val="center"/>
              <w:rPr>
                <w:rFonts w:hint="eastAsia"/>
              </w:rPr>
            </w:pPr>
            <w:r>
              <w:rPr>
                <w:rFonts w:hint="eastAsia"/>
              </w:rPr>
              <w:t>毕业</w:t>
            </w:r>
          </w:p>
          <w:p>
            <w:pPr>
              <w:ind w:firstLine="210" w:firstLineChars="100"/>
            </w:pPr>
            <w:r>
              <w:rPr>
                <w:rFonts w:hint="eastAsia"/>
              </w:rPr>
              <w:t>时间</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Align w:val="center"/>
          </w:tcPr>
          <w:p>
            <w:pPr>
              <w:jc w:val="center"/>
            </w:pPr>
            <w:r>
              <w:rPr>
                <w:rFonts w:hint="eastAsia"/>
              </w:rPr>
              <w:t>现在工作单位</w:t>
            </w:r>
          </w:p>
        </w:tc>
        <w:tc>
          <w:tcPr>
            <w:tcW w:w="5037" w:type="dxa"/>
            <w:gridSpan w:val="6"/>
            <w:vAlign w:val="center"/>
          </w:tcPr>
          <w:p>
            <w:pPr>
              <w:rPr>
                <w:rFonts w:hint="eastAsia"/>
              </w:rPr>
            </w:pPr>
          </w:p>
        </w:tc>
        <w:tc>
          <w:tcPr>
            <w:tcW w:w="1087" w:type="dxa"/>
            <w:vAlign w:val="center"/>
          </w:tcPr>
          <w:p>
            <w:pPr>
              <w:jc w:val="center"/>
              <w:rPr>
                <w:rFonts w:hint="eastAsia"/>
              </w:rPr>
            </w:pPr>
            <w:r>
              <w:rPr>
                <w:rFonts w:hint="eastAsia"/>
              </w:rPr>
              <w:t>职 务</w:t>
            </w:r>
          </w:p>
          <w:p>
            <w:pPr>
              <w:jc w:val="center"/>
            </w:pPr>
            <w:r>
              <w:rPr>
                <w:rFonts w:hint="eastAsia"/>
              </w:rPr>
              <w:t>（职称）</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897" w:type="dxa"/>
            <w:vAlign w:val="center"/>
          </w:tcPr>
          <w:p>
            <w:pPr>
              <w:jc w:val="center"/>
            </w:pPr>
            <w:r>
              <w:rPr>
                <w:rFonts w:hint="eastAsia"/>
              </w:rPr>
              <w:t>单位通讯地址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单位联 系电话</w:t>
            </w: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Align w:val="center"/>
          </w:tcPr>
          <w:p>
            <w:pPr>
              <w:jc w:val="center"/>
              <w:rPr>
                <w:rFonts w:hint="eastAsia"/>
              </w:rPr>
            </w:pPr>
            <w:r>
              <w:rPr>
                <w:rFonts w:hint="eastAsia"/>
              </w:rPr>
              <w:t>家庭 地址</w:t>
            </w:r>
          </w:p>
        </w:tc>
        <w:tc>
          <w:tcPr>
            <w:tcW w:w="5037" w:type="dxa"/>
            <w:gridSpan w:val="6"/>
            <w:vAlign w:val="center"/>
          </w:tcPr>
          <w:p>
            <w:pPr>
              <w:jc w:val="center"/>
              <w:rPr>
                <w:rFonts w:hint="eastAsia"/>
              </w:rPr>
            </w:pPr>
          </w:p>
        </w:tc>
        <w:tc>
          <w:tcPr>
            <w:tcW w:w="1087" w:type="dxa"/>
            <w:vAlign w:val="center"/>
          </w:tcPr>
          <w:p>
            <w:pPr>
              <w:jc w:val="center"/>
              <w:rPr>
                <w:rFonts w:hint="eastAsia"/>
              </w:rPr>
            </w:pPr>
            <w:r>
              <w:rPr>
                <w:rFonts w:hint="eastAsia"/>
              </w:rPr>
              <w:t>家庭电话</w:t>
            </w: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restart"/>
            <w:tcBorders>
              <w:left w:val="single" w:color="auto" w:sz="4" w:space="0"/>
            </w:tcBorders>
            <w:vAlign w:val="center"/>
          </w:tcPr>
          <w:p>
            <w:pPr>
              <w:jc w:val="center"/>
              <w:rPr>
                <w:rFonts w:hint="eastAsia"/>
              </w:rPr>
            </w:pPr>
            <w:r>
              <w:rPr>
                <w:rFonts w:hint="eastAsia"/>
              </w:rPr>
              <w:t>主</w:t>
            </w:r>
          </w:p>
          <w:p>
            <w:pPr>
              <w:jc w:val="center"/>
              <w:rPr>
                <w:rFonts w:hint="eastAsia"/>
              </w:rPr>
            </w:pPr>
            <w:r>
              <w:rPr>
                <w:rFonts w:hint="eastAsia"/>
              </w:rPr>
              <w:t>要</w:t>
            </w:r>
          </w:p>
          <w:p>
            <w:pPr>
              <w:jc w:val="center"/>
              <w:rPr>
                <w:rFonts w:hint="eastAsia"/>
              </w:rPr>
            </w:pPr>
            <w:r>
              <w:rPr>
                <w:rFonts w:hint="eastAsia"/>
              </w:rPr>
              <w:t>学</w:t>
            </w:r>
          </w:p>
          <w:p>
            <w:pPr>
              <w:jc w:val="center"/>
              <w:rPr>
                <w:rFonts w:hint="eastAsia"/>
              </w:rPr>
            </w:pPr>
            <w:r>
              <w:rPr>
                <w:rFonts w:hint="eastAsia"/>
              </w:rPr>
              <w:t>习</w:t>
            </w:r>
          </w:p>
          <w:p>
            <w:pPr>
              <w:jc w:val="center"/>
              <w:rPr>
                <w:rFonts w:hint="eastAsia"/>
              </w:rPr>
            </w:pPr>
            <w:r>
              <w:rPr>
                <w:rFonts w:hint="eastAsia"/>
              </w:rPr>
              <w:t>与</w:t>
            </w:r>
          </w:p>
          <w:p>
            <w:pPr>
              <w:jc w:val="center"/>
              <w:rPr>
                <w:rFonts w:hint="eastAsia"/>
              </w:rPr>
            </w:pPr>
            <w:r>
              <w:rPr>
                <w:rFonts w:hint="eastAsia"/>
              </w:rPr>
              <w:t>工</w:t>
            </w:r>
          </w:p>
          <w:p>
            <w:pPr>
              <w:jc w:val="center"/>
              <w:rPr>
                <w:rFonts w:hint="eastAsia"/>
              </w:rPr>
            </w:pPr>
            <w:r>
              <w:rPr>
                <w:rFonts w:hint="eastAsia"/>
              </w:rPr>
              <w:t>作</w:t>
            </w:r>
          </w:p>
          <w:p>
            <w:pPr>
              <w:jc w:val="center"/>
              <w:rPr>
                <w:rFonts w:hint="eastAsia"/>
              </w:rPr>
            </w:pPr>
            <w:r>
              <w:rPr>
                <w:rFonts w:hint="eastAsia"/>
              </w:rPr>
              <w:t>经</w:t>
            </w:r>
          </w:p>
          <w:p>
            <w:pPr>
              <w:jc w:val="center"/>
            </w:pPr>
            <w:r>
              <w:rPr>
                <w:rFonts w:hint="eastAsia"/>
              </w:rPr>
              <w:t>历</w:t>
            </w:r>
          </w:p>
        </w:tc>
        <w:tc>
          <w:tcPr>
            <w:tcW w:w="1797" w:type="dxa"/>
            <w:vAlign w:val="center"/>
          </w:tcPr>
          <w:p>
            <w:pPr>
              <w:jc w:val="center"/>
            </w:pPr>
            <w:r>
              <w:rPr>
                <w:rFonts w:hint="eastAsia"/>
              </w:rPr>
              <w:t>起止年月</w:t>
            </w:r>
          </w:p>
        </w:tc>
        <w:tc>
          <w:tcPr>
            <w:tcW w:w="4327" w:type="dxa"/>
            <w:gridSpan w:val="6"/>
            <w:vAlign w:val="center"/>
          </w:tcPr>
          <w:p>
            <w:pPr>
              <w:jc w:val="center"/>
            </w:pPr>
            <w:r>
              <w:rPr>
                <w:rFonts w:hint="eastAsia"/>
              </w:rPr>
              <w:t>学 习 和 工 作 单 位</w:t>
            </w:r>
          </w:p>
        </w:tc>
        <w:tc>
          <w:tcPr>
            <w:tcW w:w="1799" w:type="dxa"/>
            <w:vAlign w:val="center"/>
          </w:tcPr>
          <w:p>
            <w:pPr>
              <w:jc w:val="center"/>
            </w:pPr>
            <w:r>
              <w:rPr>
                <w:rFonts w:hint="eastAsia"/>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rPr>
                <w:rFonts w:hint="eastAsia"/>
              </w:rPr>
            </w:pPr>
          </w:p>
        </w:tc>
        <w:tc>
          <w:tcPr>
            <w:tcW w:w="4327" w:type="dxa"/>
            <w:gridSpan w:val="6"/>
            <w:vAlign w:val="center"/>
          </w:tcPr>
          <w:p>
            <w:pPr>
              <w:jc w:val="center"/>
              <w:rPr>
                <w:rFonts w:hint="eastAsia"/>
              </w:rPr>
            </w:pPr>
          </w:p>
        </w:tc>
        <w:tc>
          <w:tcPr>
            <w:tcW w:w="1799" w:type="dxa"/>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897" w:type="dxa"/>
            <w:vMerge w:val="continue"/>
            <w:tcBorders>
              <w:left w:val="single" w:color="auto" w:sz="4" w:space="0"/>
            </w:tcBorders>
            <w:vAlign w:val="center"/>
          </w:tcPr>
          <w:p>
            <w:pPr>
              <w:jc w:val="center"/>
            </w:pPr>
          </w:p>
        </w:tc>
        <w:tc>
          <w:tcPr>
            <w:tcW w:w="1797" w:type="dxa"/>
            <w:vAlign w:val="center"/>
          </w:tcPr>
          <w:p>
            <w:pPr>
              <w:jc w:val="center"/>
            </w:pPr>
          </w:p>
        </w:tc>
        <w:tc>
          <w:tcPr>
            <w:tcW w:w="4327" w:type="dxa"/>
            <w:gridSpan w:val="6"/>
            <w:vAlign w:val="center"/>
          </w:tcPr>
          <w:p>
            <w:pPr>
              <w:jc w:val="center"/>
            </w:pPr>
          </w:p>
        </w:tc>
        <w:tc>
          <w:tcPr>
            <w:tcW w:w="1799"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4" w:hRule="atLeast"/>
        </w:trPr>
        <w:tc>
          <w:tcPr>
            <w:tcW w:w="8820" w:type="dxa"/>
            <w:gridSpan w:val="9"/>
            <w:vAlign w:val="center"/>
          </w:tcPr>
          <w:p>
            <w:pPr>
              <w:rPr>
                <w:rFonts w:hint="eastAsia" w:ascii="宋体" w:hAnsi="宋体"/>
                <w:szCs w:val="21"/>
              </w:rPr>
            </w:pPr>
            <w:r>
              <w:rPr>
                <w:rFonts w:hint="eastAsia" w:ascii="宋体" w:hAnsi="宋体"/>
                <w:szCs w:val="21"/>
              </w:rPr>
              <w:t>对考生报考意见</w:t>
            </w:r>
          </w:p>
          <w:p>
            <w:pPr>
              <w:rPr>
                <w:rFonts w:hint="eastAsia" w:ascii="宋体" w:hAnsi="宋体"/>
                <w:szCs w:val="21"/>
              </w:rPr>
            </w:pPr>
          </w:p>
          <w:p>
            <w:pPr>
              <w:rPr>
                <w:rFonts w:hint="eastAsia" w:ascii="宋体" w:hAnsi="宋体"/>
                <w:szCs w:val="21"/>
              </w:rPr>
            </w:pPr>
          </w:p>
          <w:p>
            <w:pPr>
              <w:ind w:firstLine="5040" w:firstLineChars="2400"/>
              <w:rPr>
                <w:rFonts w:hint="eastAsia" w:ascii="宋体" w:hAnsi="宋体"/>
                <w:szCs w:val="21"/>
              </w:rPr>
            </w:pPr>
            <w:r>
              <w:rPr>
                <w:rFonts w:hint="eastAsia" w:ascii="宋体" w:hAnsi="宋体"/>
                <w:szCs w:val="21"/>
              </w:rPr>
              <w:t>考生所在单位盖章</w:t>
            </w:r>
          </w:p>
          <w:p>
            <w:pPr>
              <w:jc w:val="right"/>
              <w:rPr>
                <w:rFonts w:hint="eastAsia" w:ascii="宋体" w:hAnsi="宋体"/>
                <w:szCs w:val="21"/>
              </w:rPr>
            </w:pPr>
            <w:r>
              <w:rPr>
                <w:rFonts w:hint="eastAsia" w:ascii="宋体" w:hAnsi="宋体"/>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0" w:hRule="atLeast"/>
        </w:trPr>
        <w:tc>
          <w:tcPr>
            <w:tcW w:w="8820" w:type="dxa"/>
            <w:gridSpan w:val="9"/>
            <w:tcBorders>
              <w:bottom w:val="single" w:color="auto" w:sz="4" w:space="0"/>
            </w:tcBorders>
            <w:vAlign w:val="center"/>
          </w:tcPr>
          <w:p>
            <w:pPr>
              <w:jc w:val="right"/>
              <w:rPr>
                <w:rFonts w:hint="eastAsia" w:ascii="宋体" w:hAnsi="宋体"/>
                <w:szCs w:val="21"/>
              </w:rPr>
            </w:pPr>
          </w:p>
        </w:tc>
      </w:tr>
    </w:tbl>
    <w:p>
      <w:pPr>
        <w:rPr>
          <w:rFonts w:hint="eastAsia"/>
        </w:rPr>
      </w:pPr>
    </w:p>
    <w:p>
      <w:pPr>
        <w:spacing w:line="360" w:lineRule="auto"/>
        <w:ind w:firstLine="420" w:firstLineChars="200"/>
        <w:jc w:val="left"/>
        <w:rPr>
          <w:rFonts w:hint="eastAsia" w:ascii="宋体" w:hAnsi="宋体" w:eastAsia="宋体" w:cs="宋体"/>
          <w:szCs w:val="21"/>
        </w:rPr>
      </w:pPr>
    </w:p>
    <w:p>
      <w:pPr>
        <w:spacing w:line="360" w:lineRule="auto"/>
        <w:jc w:val="left"/>
        <w:rPr>
          <w:rFonts w:hint="eastAsia" w:ascii="宋体" w:hAnsi="宋体" w:eastAsia="宋体" w:cs="宋体"/>
          <w:szCs w:val="21"/>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pPr>
    <w:r>
      <w:rPr>
        <w:rFonts w:hint="eastAsia"/>
      </w:rPr>
      <w:drawing>
        <wp:anchor distT="0" distB="0" distL="114300" distR="114300" simplePos="0" relativeHeight="251658240" behindDoc="1" locked="0" layoutInCell="1" allowOverlap="1">
          <wp:simplePos x="0" y="0"/>
          <wp:positionH relativeFrom="column">
            <wp:posOffset>637540</wp:posOffset>
          </wp:positionH>
          <wp:positionV relativeFrom="paragraph">
            <wp:posOffset>2102485</wp:posOffset>
          </wp:positionV>
          <wp:extent cx="3974465" cy="3974465"/>
          <wp:effectExtent l="0" t="0" r="6985" b="6985"/>
          <wp:wrapNone/>
          <wp:docPr id="1" name="图片 1" descr="南昌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昌水印"/>
                  <pic:cNvPicPr>
                    <a:picLocks noChangeAspect="1"/>
                  </pic:cNvPicPr>
                </pic:nvPicPr>
                <pic:blipFill>
                  <a:blip r:embed="rId1"/>
                  <a:stretch>
                    <a:fillRect/>
                  </a:stretch>
                </pic:blipFill>
                <pic:spPr>
                  <a:xfrm>
                    <a:off x="0" y="0"/>
                    <a:ext cx="3974465" cy="397446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8E3EE1"/>
    <w:rsid w:val="00297A57"/>
    <w:rsid w:val="002A2EB9"/>
    <w:rsid w:val="0059143D"/>
    <w:rsid w:val="0061215D"/>
    <w:rsid w:val="006A7ED6"/>
    <w:rsid w:val="006F235F"/>
    <w:rsid w:val="00724B9B"/>
    <w:rsid w:val="00DA3E54"/>
    <w:rsid w:val="01740D92"/>
    <w:rsid w:val="04E90E3E"/>
    <w:rsid w:val="0D0E7C64"/>
    <w:rsid w:val="293E4295"/>
    <w:rsid w:val="369F4770"/>
    <w:rsid w:val="3C012A3D"/>
    <w:rsid w:val="3CDC4812"/>
    <w:rsid w:val="4A4867D6"/>
    <w:rsid w:val="4BEB0050"/>
    <w:rsid w:val="4FC54060"/>
    <w:rsid w:val="5F065F93"/>
    <w:rsid w:val="608E3EE1"/>
    <w:rsid w:val="60C05893"/>
    <w:rsid w:val="64AF7B3D"/>
    <w:rsid w:val="6D535020"/>
    <w:rsid w:val="71EC05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FollowedHyperlink"/>
    <w:basedOn w:val="7"/>
    <w:qFormat/>
    <w:uiPriority w:val="0"/>
    <w:rPr>
      <w:color w:val="000000"/>
      <w:sz w:val="18"/>
      <w:szCs w:val="18"/>
      <w:u w:val="none"/>
    </w:rPr>
  </w:style>
  <w:style w:type="character" w:styleId="9">
    <w:name w:val="HTML Definition"/>
    <w:basedOn w:val="7"/>
    <w:qFormat/>
    <w:uiPriority w:val="0"/>
  </w:style>
  <w:style w:type="character" w:styleId="10">
    <w:name w:val="HTML Acronym"/>
    <w:basedOn w:val="7"/>
    <w:qFormat/>
    <w:uiPriority w:val="0"/>
  </w:style>
  <w:style w:type="character" w:styleId="11">
    <w:name w:val="HTML Variable"/>
    <w:basedOn w:val="7"/>
    <w:qFormat/>
    <w:uiPriority w:val="0"/>
  </w:style>
  <w:style w:type="character" w:styleId="12">
    <w:name w:val="Hyperlink"/>
    <w:basedOn w:val="7"/>
    <w:qFormat/>
    <w:uiPriority w:val="0"/>
    <w:rPr>
      <w:color w:val="000000"/>
      <w:sz w:val="18"/>
      <w:szCs w:val="18"/>
      <w:u w:val="none"/>
    </w:rPr>
  </w:style>
  <w:style w:type="character" w:styleId="13">
    <w:name w:val="HTML Code"/>
    <w:basedOn w:val="7"/>
    <w:qFormat/>
    <w:uiPriority w:val="0"/>
    <w:rPr>
      <w:rFonts w:ascii="Courier New" w:hAnsi="Courier New"/>
      <w:sz w:val="20"/>
    </w:rPr>
  </w:style>
  <w:style w:type="character" w:styleId="14">
    <w:name w:val="HTML Cite"/>
    <w:basedOn w:val="7"/>
    <w:qFormat/>
    <w:uiPriority w:val="0"/>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3;&#30693;&#2613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Company>Sky123.Org</Company>
  <Pages>5</Pages>
  <Words>289</Words>
  <Characters>1650</Characters>
  <Lines>13</Lines>
  <Paragraphs>3</Paragraphs>
  <TotalTime>1</TotalTime>
  <ScaleCrop>false</ScaleCrop>
  <LinksUpToDate>false</LinksUpToDate>
  <CharactersWithSpaces>1936</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2018-09-06T05:47:00Z</dcterms:created>
  <dc:creator>北京-网络编辑-曹童童</dc:creator>
  <cp:lastModifiedBy>蓝海智慧郑老师</cp:lastModifiedBy>
  <dcterms:modified xsi:type="dcterms:W3CDTF">2019-04-02T02:14:09Z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