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drawing>
          <wp:anchor distT="0" distB="0" distL="114300" distR="114300" simplePos="0" relativeHeight="251658240" behindDoc="1" locked="0" layoutInCell="1" allowOverlap="1">
            <wp:simplePos x="0" y="0"/>
            <wp:positionH relativeFrom="column">
              <wp:posOffset>1450975</wp:posOffset>
            </wp:positionH>
            <wp:positionV relativeFrom="paragraph">
              <wp:posOffset>-170815</wp:posOffset>
            </wp:positionV>
            <wp:extent cx="2286000" cy="723900"/>
            <wp:effectExtent l="0" t="0" r="0" b="0"/>
            <wp:wrapTight wrapText="bothSides">
              <wp:wrapPolygon>
                <wp:start x="2520" y="0"/>
                <wp:lineTo x="1440" y="1705"/>
                <wp:lineTo x="0" y="6821"/>
                <wp:lineTo x="0" y="11368"/>
                <wp:lineTo x="720" y="18189"/>
                <wp:lineTo x="2340" y="21032"/>
                <wp:lineTo x="2520" y="21032"/>
                <wp:lineTo x="4680" y="21032"/>
                <wp:lineTo x="6480" y="21032"/>
                <wp:lineTo x="21240" y="18758"/>
                <wp:lineTo x="21420" y="15916"/>
                <wp:lineTo x="20700" y="9095"/>
                <wp:lineTo x="21420" y="6821"/>
                <wp:lineTo x="21240" y="2274"/>
                <wp:lineTo x="4680" y="0"/>
                <wp:lineTo x="2520" y="0"/>
              </wp:wrapPolygon>
            </wp:wrapTight>
            <wp:docPr id="1" name="图片 1"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4"/>
        </w:rPr>
      </w:pPr>
    </w:p>
    <w:p>
      <w:pPr>
        <w:spacing w:line="360" w:lineRule="auto"/>
        <w:jc w:val="center"/>
        <w:rPr>
          <w:rFonts w:ascii="宋体" w:hAnsi="宋体" w:eastAsia="宋体" w:cs="宋体"/>
          <w:b/>
          <w:bCs/>
          <w:sz w:val="24"/>
        </w:rPr>
      </w:pPr>
      <w:r>
        <w:rPr>
          <w:rFonts w:hint="eastAsia" w:ascii="宋体" w:hAnsi="宋体" w:eastAsia="宋体" w:cs="宋体"/>
          <w:b/>
          <w:bCs/>
          <w:sz w:val="24"/>
        </w:rPr>
        <w:t>南昌大学法学院法律史专业</w:t>
      </w:r>
    </w:p>
    <w:p>
      <w:pPr>
        <w:spacing w:line="360" w:lineRule="auto"/>
        <w:jc w:val="center"/>
        <w:rPr>
          <w:rFonts w:hint="eastAsia" w:ascii="宋体" w:hAnsi="宋体" w:eastAsia="宋体" w:cs="宋体"/>
          <w:color w:val="C00000"/>
          <w:szCs w:val="21"/>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p>
    <w:p>
      <w:pPr>
        <w:spacing w:line="360" w:lineRule="auto"/>
        <w:ind w:firstLine="420" w:firstLineChars="200"/>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南昌大学法学院拥有1个社会治理与法治系统工程二级学科博士学位授权点、1个法学一级学科硕士学位授权点、非法学、法学2个法律硕士专业学位授权点、1个江西省品牌专业法学专业、刑法学、行政法与行政诉讼法学、刑事诉讼法学3门江西省优质课程。</w:t>
      </w:r>
    </w:p>
    <w:p>
      <w:pPr>
        <w:spacing w:line="360" w:lineRule="auto"/>
        <w:ind w:firstLine="420" w:firstLineChars="200"/>
        <w:rPr>
          <w:rFonts w:ascii="宋体" w:hAnsi="宋体" w:eastAsia="宋体" w:cs="宋体"/>
          <w:szCs w:val="21"/>
        </w:rPr>
      </w:pPr>
      <w:r>
        <w:rPr>
          <w:rFonts w:hint="eastAsia" w:ascii="宋体" w:hAnsi="宋体" w:eastAsia="宋体" w:cs="宋体"/>
          <w:szCs w:val="21"/>
        </w:rPr>
        <w:t>法律史是法学领域内的一个重要基础学科，属于法学二级学科。法律史专业的研究方向有中国法制史、外国法制史、中国法律思想史、西方法律思想史、比较法律文化等。</w:t>
      </w:r>
    </w:p>
    <w:p>
      <w:pPr>
        <w:spacing w:line="360" w:lineRule="auto"/>
        <w:ind w:firstLine="420" w:firstLineChars="200"/>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为适应社会发展和经济建设的需要，提高教育、科技、管理等方面专业人员的素质，多渠道地促进法律史专业人才培养，经国务院学位委员会批准，特在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地区开展以研究生毕业法律史专业同等学力申请硕士学位招生及培养工作。</w:t>
      </w:r>
    </w:p>
    <w:p>
      <w:pPr>
        <w:spacing w:line="360" w:lineRule="auto"/>
        <w:rPr>
          <w:rFonts w:ascii="宋体" w:hAnsi="宋体" w:eastAsia="宋体" w:cs="宋体"/>
          <w:szCs w:val="21"/>
        </w:rPr>
      </w:pPr>
    </w:p>
    <w:p>
      <w:pPr>
        <w:numPr>
          <w:ilvl w:val="0"/>
          <w:numId w:val="1"/>
        </w:numPr>
        <w:spacing w:line="360" w:lineRule="auto"/>
        <w:rPr>
          <w:rFonts w:ascii="宋体" w:hAnsi="宋体" w:eastAsia="宋体" w:cs="宋体"/>
          <w:b/>
          <w:bCs/>
          <w:szCs w:val="21"/>
        </w:rPr>
      </w:pPr>
      <w:r>
        <w:rPr>
          <w:rFonts w:hint="eastAsia" w:ascii="宋体" w:hAnsi="宋体" w:eastAsia="宋体" w:cs="宋体"/>
          <w:b/>
          <w:bCs/>
          <w:szCs w:val="21"/>
        </w:rPr>
        <w:t>培养目标</w:t>
      </w:r>
    </w:p>
    <w:p>
      <w:pPr>
        <w:spacing w:line="360" w:lineRule="auto"/>
        <w:ind w:firstLine="420" w:firstLineChars="200"/>
        <w:rPr>
          <w:rFonts w:ascii="宋体" w:hAnsi="宋体" w:eastAsia="宋体" w:cs="宋体"/>
          <w:szCs w:val="21"/>
        </w:rPr>
      </w:pPr>
      <w:r>
        <w:rPr>
          <w:rFonts w:hint="eastAsia" w:ascii="宋体" w:hAnsi="宋体" w:eastAsia="宋体" w:cs="宋体"/>
          <w:szCs w:val="21"/>
        </w:rPr>
        <w:t>1、本专业培养扎实掌握法律史学知识和相关学科的基础知识，能熟练阅读法律史学专业文献并独立撰写论文，具有较好的计算机应用技能，能独立进行法律史学研究工作的法学人才；</w:t>
      </w:r>
    </w:p>
    <w:p>
      <w:pPr>
        <w:spacing w:line="360" w:lineRule="auto"/>
        <w:ind w:firstLine="420" w:firstLineChars="200"/>
        <w:rPr>
          <w:rFonts w:ascii="宋体" w:hAnsi="宋体" w:eastAsia="宋体" w:cs="宋体"/>
          <w:szCs w:val="21"/>
        </w:rPr>
      </w:pPr>
      <w:r>
        <w:rPr>
          <w:rFonts w:hint="eastAsia" w:ascii="宋体" w:hAnsi="宋体" w:eastAsia="宋体" w:cs="宋体"/>
          <w:szCs w:val="21"/>
        </w:rPr>
        <w:t>2、毕业后能从事法律史学教学、科研及相关法律实务工作。</w:t>
      </w:r>
    </w:p>
    <w:p>
      <w:pPr>
        <w:spacing w:line="360" w:lineRule="auto"/>
        <w:rPr>
          <w:rFonts w:ascii="宋体" w:hAnsi="宋体" w:eastAsia="宋体" w:cs="宋体"/>
          <w:szCs w:val="21"/>
        </w:rPr>
      </w:pPr>
    </w:p>
    <w:p>
      <w:pPr>
        <w:numPr>
          <w:ilvl w:val="0"/>
          <w:numId w:val="1"/>
        </w:numPr>
        <w:spacing w:line="360" w:lineRule="auto"/>
        <w:rPr>
          <w:rFonts w:ascii="宋体" w:hAnsi="宋体" w:eastAsia="宋体" w:cs="宋体"/>
          <w:b/>
          <w:bCs/>
          <w:szCs w:val="21"/>
        </w:rPr>
      </w:pPr>
      <w:r>
        <w:rPr>
          <w:rFonts w:hint="eastAsia" w:ascii="宋体" w:hAnsi="宋体" w:eastAsia="宋体" w:cs="宋体"/>
          <w:b/>
          <w:bCs/>
          <w:szCs w:val="21"/>
        </w:rPr>
        <w:t>专业优势</w:t>
      </w:r>
    </w:p>
    <w:p>
      <w:pPr>
        <w:pStyle w:val="14"/>
        <w:spacing w:line="360" w:lineRule="auto"/>
        <w:ind w:left="420" w:firstLine="0" w:firstLineChars="0"/>
        <w:rPr>
          <w:rFonts w:ascii="宋体" w:hAnsi="宋体" w:eastAsia="宋体" w:cs="宋体"/>
          <w:szCs w:val="21"/>
        </w:rPr>
      </w:pPr>
      <w:r>
        <w:rPr>
          <w:rFonts w:hint="eastAsia" w:ascii="宋体" w:hAnsi="宋体" w:eastAsia="宋体" w:cs="宋体"/>
          <w:szCs w:val="21"/>
        </w:rPr>
        <w:t>【重点学科】南昌大学法学学科系江西省高校“十二五”重点学科；</w:t>
      </w:r>
    </w:p>
    <w:p>
      <w:pPr>
        <w:spacing w:line="360" w:lineRule="auto"/>
        <w:ind w:firstLine="420" w:firstLineChars="200"/>
        <w:rPr>
          <w:rFonts w:ascii="宋体" w:hAnsi="宋体" w:eastAsia="宋体" w:cs="宋体"/>
          <w:szCs w:val="21"/>
        </w:rPr>
      </w:pPr>
      <w:r>
        <w:rPr>
          <w:rFonts w:hint="eastAsia" w:ascii="宋体" w:hAnsi="宋体" w:eastAsia="宋体" w:cs="宋体"/>
          <w:szCs w:val="21"/>
        </w:rPr>
        <w:t>【含金量高】成绩合格颁发南昌大学法学硕士学位，学位网可查</w:t>
      </w:r>
      <w:r>
        <w:rPr>
          <w:rFonts w:ascii="宋体" w:hAnsi="宋体" w:eastAsia="宋体" w:cs="宋体"/>
          <w:szCs w:val="21"/>
        </w:rPr>
        <w:t>，</w:t>
      </w:r>
      <w:r>
        <w:rPr>
          <w:rFonts w:hint="eastAsia" w:ascii="宋体" w:hAnsi="宋体" w:eastAsia="宋体" w:cs="宋体"/>
          <w:szCs w:val="21"/>
        </w:rPr>
        <w:t>含金量高；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【性价比高】法学院同等学力申硕专业学费相较于其他211高校学费性价比高；</w:t>
      </w:r>
    </w:p>
    <w:p>
      <w:pPr>
        <w:spacing w:line="360" w:lineRule="auto"/>
        <w:ind w:firstLine="420" w:firstLineChars="200"/>
        <w:rPr>
          <w:rFonts w:ascii="宋体" w:hAnsi="宋体" w:eastAsia="宋体" w:cs="宋体"/>
          <w:szCs w:val="21"/>
        </w:rPr>
      </w:pPr>
      <w:r>
        <w:rPr>
          <w:rFonts w:hint="eastAsia" w:ascii="宋体" w:hAnsi="宋体" w:eastAsia="宋体" w:cs="宋体"/>
          <w:szCs w:val="21"/>
        </w:rPr>
        <w:t>【灵活授课】设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【高通过率】设申硕考前辅导，360度全方位剖析考纲、考点，提高申硕通过率。</w:t>
      </w:r>
    </w:p>
    <w:p>
      <w:pPr>
        <w:spacing w:line="360" w:lineRule="auto"/>
        <w:rPr>
          <w:rFonts w:ascii="宋体" w:hAnsi="宋体" w:eastAsia="宋体" w:cs="宋体"/>
          <w:szCs w:val="21"/>
        </w:rPr>
      </w:pPr>
    </w:p>
    <w:p>
      <w:pPr>
        <w:numPr>
          <w:ilvl w:val="0"/>
          <w:numId w:val="1"/>
        </w:numPr>
        <w:spacing w:line="360" w:lineRule="auto"/>
        <w:rPr>
          <w:rFonts w:ascii="宋体" w:hAnsi="宋体" w:eastAsia="宋体" w:cs="宋体"/>
          <w:b/>
          <w:bCs/>
          <w:szCs w:val="21"/>
        </w:rPr>
      </w:pPr>
      <w:r>
        <w:rPr>
          <w:rFonts w:hint="eastAsia" w:ascii="宋体" w:hAnsi="宋体" w:eastAsia="宋体" w:cs="宋体"/>
          <w:b/>
          <w:bCs/>
          <w:szCs w:val="21"/>
        </w:rPr>
        <w:t>招生条件</w:t>
      </w:r>
    </w:p>
    <w:p>
      <w:pPr>
        <w:spacing w:line="360" w:lineRule="auto"/>
        <w:ind w:firstLine="420" w:firstLineChars="200"/>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五、课程设置</w:t>
      </w:r>
    </w:p>
    <w:tbl>
      <w:tblPr>
        <w:tblStyle w:val="5"/>
        <w:tblW w:w="7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6175" w:type="dxa"/>
            <w:vAlign w:val="center"/>
          </w:tcPr>
          <w:p>
            <w:pPr>
              <w:spacing w:line="360" w:lineRule="auto"/>
              <w:rPr>
                <w:rFonts w:ascii="宋体" w:hAnsi="宋体" w:eastAsia="宋体" w:cs="宋体"/>
                <w:szCs w:val="21"/>
              </w:rPr>
            </w:pPr>
            <w:r>
              <w:rPr>
                <w:rFonts w:hint="eastAsia" w:ascii="宋体" w:hAnsi="宋体" w:eastAsia="宋体" w:cs="宋体"/>
                <w:szCs w:val="21"/>
              </w:rPr>
              <w:t>英语、中国特色社会主义理论与实践、自然辩证法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6175" w:type="dxa"/>
            <w:vAlign w:val="center"/>
          </w:tcPr>
          <w:p>
            <w:pPr>
              <w:spacing w:line="360" w:lineRule="auto"/>
              <w:rPr>
                <w:rFonts w:ascii="宋体" w:hAnsi="宋体" w:eastAsia="宋体" w:cs="宋体"/>
                <w:szCs w:val="21"/>
              </w:rPr>
            </w:pPr>
            <w:r>
              <w:rPr>
                <w:rFonts w:hint="eastAsia" w:ascii="宋体" w:hAnsi="宋体" w:eastAsia="宋体" w:cs="宋体"/>
                <w:szCs w:val="21"/>
              </w:rPr>
              <w:t>刑法学、民法学、中国法制史专题研究、法理学、宪法学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6175" w:type="dxa"/>
            <w:vAlign w:val="center"/>
          </w:tcPr>
          <w:p>
            <w:pPr>
              <w:widowControl/>
              <w:spacing w:line="360" w:lineRule="auto"/>
              <w:rPr>
                <w:rFonts w:ascii="宋体" w:hAnsi="宋体" w:eastAsia="宋体" w:cs="宋体"/>
                <w:szCs w:val="21"/>
              </w:rPr>
            </w:pPr>
            <w:r>
              <w:rPr>
                <w:rFonts w:hint="eastAsia" w:ascii="宋体" w:hAnsi="宋体" w:eastAsia="宋体" w:cs="宋体"/>
                <w:szCs w:val="21"/>
              </w:rPr>
              <w:t>外国法制史专题研究、法律史研究前沿问题、法理学、</w:t>
            </w:r>
          </w:p>
          <w:p>
            <w:pPr>
              <w:widowControl/>
              <w:spacing w:line="360" w:lineRule="auto"/>
              <w:rPr>
                <w:rFonts w:ascii="宋体" w:hAnsi="宋体" w:eastAsia="宋体" w:cs="宋体"/>
                <w:szCs w:val="21"/>
              </w:rPr>
            </w:pPr>
            <w:r>
              <w:rPr>
                <w:rFonts w:hint="eastAsia" w:ascii="宋体" w:hAnsi="宋体" w:eastAsia="宋体" w:cs="宋体"/>
                <w:szCs w:val="21"/>
              </w:rPr>
              <w:t>中国司法制度史专题研究、中国宪政史专题研究、法律史史料学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研究方向</w:t>
            </w:r>
          </w:p>
        </w:tc>
        <w:tc>
          <w:tcPr>
            <w:tcW w:w="6175" w:type="dxa"/>
            <w:vAlign w:val="center"/>
          </w:tcPr>
          <w:p>
            <w:pPr>
              <w:spacing w:line="360" w:lineRule="auto"/>
              <w:rPr>
                <w:rFonts w:ascii="宋体" w:hAnsi="宋体" w:eastAsia="宋体" w:cs="宋体"/>
                <w:szCs w:val="21"/>
              </w:rPr>
            </w:pPr>
            <w:r>
              <w:rPr>
                <w:rFonts w:hint="eastAsia" w:ascii="宋体" w:hAnsi="宋体" w:eastAsia="宋体" w:cs="宋体"/>
                <w:szCs w:val="21"/>
              </w:rPr>
              <w:t>中国传统法律文化、中国法律制度史</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rPr>
          <w:rFonts w:ascii="宋体" w:hAnsi="宋体" w:eastAsia="宋体" w:cs="宋体"/>
          <w:szCs w:val="21"/>
        </w:rPr>
      </w:pPr>
      <w:r>
        <w:rPr>
          <w:rFonts w:hint="eastAsia" w:ascii="宋体" w:hAnsi="宋体" w:eastAsia="宋体" w:cs="宋体"/>
          <w:szCs w:val="21"/>
        </w:rPr>
        <w:t>学费</w:t>
      </w:r>
      <w:r>
        <w:rPr>
          <w:rFonts w:ascii="宋体" w:hAnsi="宋体" w:eastAsia="宋体" w:cs="宋体"/>
          <w:szCs w:val="21"/>
        </w:rPr>
        <w:t>：</w:t>
      </w:r>
      <w:r>
        <w:rPr>
          <w:rFonts w:hint="eastAsia" w:ascii="宋体" w:hAnsi="宋体" w:eastAsia="宋体" w:cs="宋体"/>
          <w:szCs w:val="21"/>
          <w:lang w:val="en-US" w:eastAsia="zh-CN"/>
        </w:rPr>
        <w:t>2</w:t>
      </w:r>
      <w:bookmarkStart w:id="0" w:name="_GoBack"/>
      <w:bookmarkEnd w:id="0"/>
      <w:r>
        <w:rPr>
          <w:rFonts w:hint="eastAsia" w:ascii="宋体" w:hAnsi="宋体" w:eastAsia="宋体" w:cs="宋体"/>
          <w:szCs w:val="21"/>
        </w:rPr>
        <w:t>6000元。</w:t>
      </w:r>
    </w:p>
    <w:p>
      <w:pPr>
        <w:spacing w:line="360" w:lineRule="auto"/>
        <w:ind w:firstLine="420"/>
        <w:rPr>
          <w:rFonts w:ascii="宋体" w:hAnsi="宋体" w:eastAsia="宋体" w:cs="宋体"/>
          <w:color w:val="FF0000"/>
          <w:szCs w:val="21"/>
        </w:rPr>
      </w:pPr>
    </w:p>
    <w:p>
      <w:pPr>
        <w:spacing w:line="360" w:lineRule="auto"/>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ind w:firstLine="420" w:firstLineChars="200"/>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rPr>
          <w:rFonts w:ascii="宋体" w:hAnsi="宋体" w:eastAsia="宋体" w:cs="宋体"/>
          <w:szCs w:val="21"/>
        </w:rPr>
      </w:pPr>
      <w:r>
        <w:rPr>
          <w:rFonts w:hint="eastAsia" w:ascii="宋体" w:hAnsi="宋体" w:eastAsia="宋体" w:cs="宋体"/>
          <w:szCs w:val="21"/>
        </w:rPr>
        <w:t>3、交1寸和2寸免冠照片6张。</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rPr>
          <w:rFonts w:ascii="宋体" w:hAnsi="宋体" w:eastAsia="宋体" w:cs="宋体"/>
          <w:szCs w:val="21"/>
        </w:rPr>
      </w:pPr>
      <w:r>
        <w:rPr>
          <w:rFonts w:hint="eastAsia" w:ascii="宋体" w:hAnsi="宋体" w:eastAsia="宋体" w:cs="宋体"/>
          <w:szCs w:val="21"/>
        </w:rPr>
        <w:t>南昌大学xx教学中心</w:t>
      </w:r>
    </w:p>
    <w:p>
      <w:pPr>
        <w:spacing w:line="360" w:lineRule="auto"/>
        <w:ind w:firstLine="420" w:firstLineChars="200"/>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ind w:firstLine="120" w:firstLineChars="50"/>
        <w:rPr>
          <w:rFonts w:hint="eastAsia" w:ascii="宋体" w:hAnsi="宋体"/>
          <w:sz w:val="24"/>
        </w:rPr>
      </w:pPr>
      <w:r>
        <w:rPr>
          <w:rFonts w:hint="eastAsia" w:ascii="宋体" w:hAnsi="宋体"/>
          <w:sz w:val="24"/>
        </w:rPr>
        <w:t>学号：_________________</w:t>
      </w:r>
    </w:p>
    <w:p>
      <w:pPr>
        <w:ind w:firstLine="360" w:firstLineChars="150"/>
        <w:rPr>
          <w:rFonts w:hint="eastAsia" w:ascii="黑体" w:hAnsi="宋体" w:eastAsia="黑体"/>
          <w:sz w:val="32"/>
          <w:szCs w:val="32"/>
        </w:rPr>
      </w:pPr>
      <w:r>
        <w:rPr>
          <w:rFonts w:hint="eastAsia" w:ascii="宋体" w:hAnsi="宋体"/>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pPr>
                              <w:widowControl/>
                              <w:rPr>
                                <w:rFonts w:hint="eastAsia"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4pt;margin-top:1.95pt;height:24pt;width:115.45pt;z-index:251660288;mso-width-relative:page;mso-height-relative:page;" fillcolor="#FFFFFF" filled="t" stroked="t" coordsize="21600,2160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AHMtkwJwIAAEcEAAAOAAAAZHJzL2Uyb0RvYy54bWytU0uO&#10;1DAQ3SNxB8t7OukvM1GnR0OPGiENH2ngAI7jJBaOy9juToYDwA1YsWHPufoclJ1M0xp2I7KwXKny&#10;q6r3qtZXfavIQVgnQed0OkkpEZpDKXWd008fdy8uKHGe6ZIp0CKn98LRq83zZ+vOZGIGDahSWIIg&#10;2mWdyWnjvcmSxPFGtMxNwAiNzgpsyzyatk5KyzpEb1UyS9NV0oEtjQUunMO/N4OTbiJ+VQnu31eV&#10;E56onGJtPp42nkU4k82aZbVlppF8LIM9oYqWSY1JT1A3zDOyt/IfqFZyCw4qP+HQJlBVkovYA3Yz&#10;TR91c9cwI2IvSI4zJ5rc/4Pl7w4fLJFlTueUaNaiRMcf348/fx9/fSPzQE9nXIZRdwbjfP8KepQ5&#10;turMLfDPjmjYNkzX4tpa6BrBSixvGl4mZ08HHBdAiu4tlJiH7T1EoL6ybeAO2SCIjjLdn6QRvSc8&#10;pFysVrPpkhKOvnm6uEijdgnLHl4b6/xrAS0Jl5xalD6is8Ot86Ealj2EhGQOlCx3Uqlo2LrYKksO&#10;DMdkF7/YwKMwpUmX08vlbDkQ8ASIVnqcdyXbnGIL+I15lA51iDixY72BvUDYQJ3vi35Uo4DyHnm0&#10;MEwzbh9eGrBfKelwknPqvuyZFZSoNxq1uJwuFmH0o7FYvpyhYc89xbmHaY5QOfWUDNetH9Zlb6ys&#10;G8w0qK/hGvWrZKQ2lDpUNaqO0xoZHzcrrMO5HaP+7v/m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hzHJbXAAAACAEAAA8AAAAAAAAAAQAgAAAAIgAAAGRycy9kb3ducmV2LnhtbFBLAQIUABQAAAAI&#10;AIdO4kAHMtkwJwIAAEcEAAAOAAAAAAAAAAEAIAAAACYBAABkcnMvZTJvRG9jLnhtbFBLBQYAAAAA&#10;BgAGAFkBAAC/BQAAAAA=&#10;">
                <v:fill on="t" focussize="0,0"/>
                <v:stroke color="#FFFFFF" miterlimit="8" joinstyle="miter"/>
                <v:imagedata o:title=""/>
                <o:lock v:ext="edit" aspectratio="f"/>
                <v:textbox>
                  <w:txbxContent>
                    <w:p>
                      <w:pPr>
                        <w:widowControl/>
                        <w:rPr>
                          <w:rFonts w:hint="eastAsia" w:ascii="宋体" w:hAnsi="宋体" w:cs="宋体"/>
                          <w:color w:val="000000"/>
                          <w:kern w:val="0"/>
                          <w:szCs w:val="21"/>
                        </w:rPr>
                      </w:pPr>
                    </w:p>
                  </w:txbxContent>
                </v:textbox>
              </v:shape>
            </w:pict>
          </mc:Fallback>
        </mc:AlternateContent>
      </w:r>
      <w:r>
        <w:rPr>
          <w:rFonts w:hint="eastAsia" w:ascii="宋体" w:hAnsi="宋体"/>
          <w:sz w:val="24"/>
        </w:rPr>
        <w:t xml:space="preserve"> </w:t>
      </w:r>
      <w:r>
        <w:rPr>
          <w:rFonts w:hint="eastAsia" w:ascii="宋体" w:hAnsi="宋体"/>
          <w:b/>
          <w:sz w:val="36"/>
          <w:szCs w:val="36"/>
        </w:rPr>
        <w:t xml:space="preserve">  </w:t>
      </w:r>
      <w:r>
        <w:rPr>
          <w:rFonts w:hint="eastAsia" w:ascii="宋体" w:hAnsi="宋体"/>
          <w:b/>
          <w:sz w:val="30"/>
          <w:szCs w:val="30"/>
        </w:rPr>
        <w:t xml:space="preserve"> </w:t>
      </w:r>
      <w:r>
        <w:rPr>
          <w:rFonts w:ascii="宋体" w:hAnsi="宋体"/>
          <w:b/>
          <w:sz w:val="30"/>
          <w:szCs w:val="30"/>
        </w:rPr>
        <w:t xml:space="preserve">       </w:t>
      </w: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556260</wp:posOffset>
          </wp:positionH>
          <wp:positionV relativeFrom="paragraph">
            <wp:posOffset>2541905</wp:posOffset>
          </wp:positionV>
          <wp:extent cx="4090670" cy="4090670"/>
          <wp:effectExtent l="0" t="0" r="5080" b="5080"/>
          <wp:wrapNone/>
          <wp:docPr id="2" name="图片 2"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昌水印"/>
                  <pic:cNvPicPr>
                    <a:picLocks noChangeAspect="1"/>
                  </pic:cNvPicPr>
                </pic:nvPicPr>
                <pic:blipFill>
                  <a:blip r:embed="rId1"/>
                  <a:stretch>
                    <a:fillRect/>
                  </a:stretch>
                </pic:blipFill>
                <pic:spPr>
                  <a:xfrm>
                    <a:off x="0" y="0"/>
                    <a:ext cx="4090670" cy="40906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D6F53"/>
    <w:multiLevelType w:val="singleLevel"/>
    <w:tmpl w:val="918D6F5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624C1"/>
    <w:rsid w:val="00027B88"/>
    <w:rsid w:val="00096809"/>
    <w:rsid w:val="00283287"/>
    <w:rsid w:val="00426471"/>
    <w:rsid w:val="00594988"/>
    <w:rsid w:val="006D1B17"/>
    <w:rsid w:val="0074584D"/>
    <w:rsid w:val="007C00E1"/>
    <w:rsid w:val="00A21A1C"/>
    <w:rsid w:val="00C549F0"/>
    <w:rsid w:val="00CA7C97"/>
    <w:rsid w:val="00CE476F"/>
    <w:rsid w:val="00E41978"/>
    <w:rsid w:val="094419E6"/>
    <w:rsid w:val="0C891237"/>
    <w:rsid w:val="0D514CC0"/>
    <w:rsid w:val="0DFE78A9"/>
    <w:rsid w:val="11B46E27"/>
    <w:rsid w:val="14506E88"/>
    <w:rsid w:val="1CE5347D"/>
    <w:rsid w:val="2C2A107D"/>
    <w:rsid w:val="2CD229F6"/>
    <w:rsid w:val="37D624C1"/>
    <w:rsid w:val="3AF661A4"/>
    <w:rsid w:val="4AFB078E"/>
    <w:rsid w:val="4C3764AB"/>
    <w:rsid w:val="55AC51B1"/>
    <w:rsid w:val="5ADB745F"/>
    <w:rsid w:val="62545465"/>
    <w:rsid w:val="64D017A2"/>
    <w:rsid w:val="6D535020"/>
    <w:rsid w:val="72C17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000000"/>
      <w:sz w:val="18"/>
      <w:szCs w:val="18"/>
      <w:u w:val="none"/>
    </w:rPr>
  </w:style>
  <w:style w:type="character" w:styleId="8">
    <w:name w:val="HTML Definition"/>
    <w:basedOn w:val="6"/>
    <w:uiPriority w:val="0"/>
  </w:style>
  <w:style w:type="character" w:styleId="9">
    <w:name w:val="HTML Acronym"/>
    <w:basedOn w:val="6"/>
    <w:qFormat/>
    <w:uiPriority w:val="0"/>
  </w:style>
  <w:style w:type="character" w:styleId="10">
    <w:name w:val="HTML Variable"/>
    <w:basedOn w:val="6"/>
    <w:qFormat/>
    <w:uiPriority w:val="0"/>
  </w:style>
  <w:style w:type="character" w:styleId="11">
    <w:name w:val="Hyperlink"/>
    <w:basedOn w:val="6"/>
    <w:qFormat/>
    <w:uiPriority w:val="0"/>
    <w:rPr>
      <w:color w:val="0000FF"/>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5</Pages>
  <Words>276</Words>
  <Characters>1575</Characters>
  <Lines>13</Lines>
  <Paragraphs>3</Paragraphs>
  <TotalTime>0</TotalTime>
  <ScaleCrop>false</ScaleCrop>
  <LinksUpToDate>false</LinksUpToDate>
  <CharactersWithSpaces>1848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2018-09-06T02:10:00Z</dcterms:created>
  <dc:creator>北京-网络编辑-曹童童</dc:creator>
  <cp:lastModifiedBy>蓝海智慧郑老师</cp:lastModifiedBy>
  <dcterms:modified xsi:type="dcterms:W3CDTF">2019-04-02T02:11:49Z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