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中国政法大学证据科学研究院</w:t>
      </w:r>
    </w:p>
    <w:p>
      <w:pPr>
        <w:jc w:val="center"/>
        <w:rPr>
          <w:b/>
          <w:sz w:val="36"/>
          <w:szCs w:val="36"/>
        </w:rPr>
      </w:pPr>
      <w:r>
        <w:rPr>
          <w:rFonts w:hint="eastAsia"/>
          <w:b/>
          <w:sz w:val="36"/>
          <w:szCs w:val="36"/>
        </w:rPr>
        <w:t>同等学力（医事法学方向）研修班招生简章</w:t>
      </w:r>
    </w:p>
    <w:p>
      <w:pPr>
        <w:jc w:val="center"/>
        <w:rPr>
          <w:b/>
          <w:sz w:val="36"/>
          <w:szCs w:val="36"/>
        </w:rPr>
      </w:pPr>
    </w:p>
    <w:p>
      <w:pPr>
        <w:ind w:firstLine="560" w:firstLineChars="200"/>
        <w:rPr>
          <w:sz w:val="28"/>
          <w:szCs w:val="28"/>
        </w:rPr>
      </w:pPr>
      <w:r>
        <w:rPr>
          <w:rFonts w:hint="eastAsia"/>
          <w:sz w:val="28"/>
          <w:szCs w:val="28"/>
        </w:rPr>
        <w:t>中国政法大学是一所以法学为特色和优势，兼有文学、历史学、哲学、经济学、管理学、教育学、理学、工学等学科的“211工程”重点建设大学，“‘985工程’优势学科创新平台”、“2011计划”和“111计划”（高校学科创新引智计划）重点建设高校。学校以“厚德、明法、格物、致公”为校训，以“推动社会政治进步和法制文明”为办学理念，严谨治学，砥砺人才，在教学科研和学科建设等方面形成了自己的办学特色，在法学领域具有突出的整体优势。在全国第四轮学科评估中，法学学科位列A+，国家首批“双一流”世界一流学科建设高校。</w:t>
      </w:r>
    </w:p>
    <w:p>
      <w:pPr>
        <w:pStyle w:val="6"/>
        <w:autoSpaceDE w:val="0"/>
        <w:spacing w:line="360" w:lineRule="auto"/>
        <w:ind w:firstLine="560"/>
        <w:rPr>
          <w:sz w:val="28"/>
          <w:szCs w:val="28"/>
        </w:rPr>
      </w:pPr>
      <w:r>
        <w:rPr>
          <w:rFonts w:hint="eastAsia"/>
          <w:sz w:val="28"/>
          <w:szCs w:val="28"/>
        </w:rPr>
        <w:t>中国政法大学证据科学研究院（Institute of Evidence Law and Forensic Science, CUPL）是学校直属的科研教学单位， 2005年12月教育部批准“证据科学教育部重点实验室（中国政法大学）”（Key Laboratory of Evidence Science，CUPL，Ministry of Education, China）立项建设。2007年学校在国务院学位办备案设立证据法学二级学科博士学位点和硕士学位点，下设证据法学和法庭科学两个方向。2009年北京市教委正式批准证据科学北京市交叉重点学科立项建设。2009年教育部批准“证据科学研究与应用创新团队”入选教育部长江学者和创新团队发展计划。2010年中央政法委批准“法大法庭科学技术鉴定研究所”入选全国十家国家级司法鉴定机构。同时，证据科学研究院亦是国家“2011计划”司法文明协同创新中心中心牵头高校参与单位，和“111计划”证据科学创新引智基地的实体性单位。研究院领导班子由院长（兼党委书记）王旭教授、副院长张中教授、副院长赵东教授、院党委副书记杨俊丽副教授组成。张保生教授（原副校长）、陈光中教授为证据科学研究院名誉院长，樊崇义教授为证据科学教育部重点实验室名誉主任，刘耀院士为证据科学教育部重点实验室学术委员会主任，美国西北大学法学院艾伦教授（Ronald J.Allen）为证据科学教育部重点实验室外国专家咨询委员会主席。</w:t>
      </w:r>
    </w:p>
    <w:p>
      <w:pPr>
        <w:pStyle w:val="6"/>
        <w:autoSpaceDE w:val="0"/>
        <w:spacing w:line="360" w:lineRule="auto"/>
        <w:ind w:firstLine="560" w:firstLineChars="200"/>
        <w:rPr>
          <w:sz w:val="28"/>
          <w:szCs w:val="28"/>
        </w:rPr>
      </w:pPr>
      <w:r>
        <w:rPr>
          <w:sz w:val="28"/>
          <w:szCs w:val="28"/>
        </w:rPr>
        <w:t>针对当今社会需求，经研究决定，为培养既懂医又懂法的高级复合型、实用型人才，特举办证据法学</w:t>
      </w:r>
      <w:r>
        <w:rPr>
          <w:rFonts w:hint="eastAsia"/>
          <w:sz w:val="28"/>
          <w:szCs w:val="28"/>
        </w:rPr>
        <w:t>（</w:t>
      </w:r>
      <w:r>
        <w:rPr>
          <w:sz w:val="28"/>
          <w:szCs w:val="28"/>
        </w:rPr>
        <w:t>医事法学方向</w:t>
      </w:r>
      <w:r>
        <w:rPr>
          <w:rFonts w:hint="eastAsia"/>
          <w:sz w:val="28"/>
          <w:szCs w:val="28"/>
        </w:rPr>
        <w:t>）</w:t>
      </w:r>
      <w:r>
        <w:rPr>
          <w:sz w:val="28"/>
          <w:szCs w:val="28"/>
        </w:rPr>
        <w:t>同等学力研修班</w:t>
      </w:r>
      <w:r>
        <w:rPr>
          <w:rFonts w:hint="eastAsia"/>
          <w:sz w:val="28"/>
          <w:szCs w:val="28"/>
        </w:rPr>
        <w:t>。</w:t>
      </w:r>
    </w:p>
    <w:p>
      <w:pPr>
        <w:rPr>
          <w:sz w:val="28"/>
          <w:szCs w:val="28"/>
        </w:rPr>
      </w:pPr>
      <w:r>
        <w:rPr>
          <w:rFonts w:hint="eastAsia"/>
          <w:sz w:val="28"/>
          <w:szCs w:val="28"/>
        </w:rPr>
        <w:t>一、学制、教学与师资</w:t>
      </w:r>
    </w:p>
    <w:p>
      <w:pPr>
        <w:ind w:firstLine="555"/>
        <w:rPr>
          <w:sz w:val="28"/>
          <w:szCs w:val="28"/>
        </w:rPr>
      </w:pPr>
      <w:r>
        <w:rPr>
          <w:rFonts w:hint="eastAsia"/>
          <w:sz w:val="28"/>
          <w:szCs w:val="28"/>
        </w:rPr>
        <w:t>1、学制2年。</w:t>
      </w:r>
    </w:p>
    <w:p>
      <w:pPr>
        <w:pStyle w:val="2"/>
        <w:spacing w:before="150" w:beforeAutospacing="0" w:after="150" w:afterAutospacing="0" w:line="240" w:lineRule="atLeast"/>
        <w:ind w:firstLine="560" w:firstLineChars="200"/>
        <w:textAlignment w:val="top"/>
        <w:rPr>
          <w:rFonts w:asciiTheme="minorHAnsi" w:hAnsiTheme="minorHAnsi" w:eastAsiaTheme="minorEastAsia" w:cstheme="minorBidi"/>
          <w:kern w:val="2"/>
          <w:sz w:val="28"/>
          <w:szCs w:val="28"/>
        </w:rPr>
      </w:pPr>
      <w:r>
        <w:rPr>
          <w:rFonts w:hint="eastAsia" w:asciiTheme="majorEastAsia" w:hAnsiTheme="majorEastAsia" w:eastAsiaTheme="majorEastAsia" w:cstheme="minorBidi"/>
          <w:kern w:val="2"/>
          <w:sz w:val="28"/>
          <w:szCs w:val="28"/>
        </w:rPr>
        <w:t>2、北京班周末面授。</w:t>
      </w:r>
      <w:r>
        <w:rPr>
          <w:rFonts w:hint="eastAsia" w:asciiTheme="minorHAnsi" w:hAnsiTheme="minorHAnsi" w:eastAsiaTheme="minorEastAsia" w:cstheme="minorBidi"/>
          <w:kern w:val="2"/>
          <w:sz w:val="28"/>
          <w:szCs w:val="28"/>
        </w:rPr>
        <w:t>全国班采用集中课堂面授与网络课堂相结合的方式。</w:t>
      </w:r>
    </w:p>
    <w:p>
      <w:pPr>
        <w:pStyle w:val="2"/>
        <w:spacing w:before="150" w:beforeAutospacing="0" w:after="150" w:afterAutospacing="0" w:line="240" w:lineRule="atLeast"/>
        <w:ind w:firstLine="560" w:firstLineChars="200"/>
        <w:textAlignment w:val="top"/>
        <w:rPr>
          <w:rFonts w:asciiTheme="majorEastAsia" w:hAnsiTheme="majorEastAsia" w:eastAsiaTheme="majorEastAsia" w:cstheme="minorBidi"/>
          <w:kern w:val="2"/>
          <w:sz w:val="28"/>
          <w:szCs w:val="28"/>
        </w:rPr>
      </w:pPr>
      <w:r>
        <w:rPr>
          <w:rFonts w:hint="eastAsia" w:asciiTheme="majorEastAsia" w:hAnsiTheme="majorEastAsia" w:eastAsiaTheme="majorEastAsia" w:cstheme="minorBidi"/>
          <w:kern w:val="2"/>
          <w:sz w:val="28"/>
          <w:szCs w:val="28"/>
        </w:rPr>
        <w:t>3、</w:t>
      </w:r>
      <w:r>
        <w:rPr>
          <w:rFonts w:asciiTheme="majorEastAsia" w:hAnsiTheme="majorEastAsia" w:eastAsiaTheme="majorEastAsia" w:cstheme="minorBidi"/>
          <w:kern w:val="2"/>
          <w:sz w:val="28"/>
          <w:szCs w:val="28"/>
        </w:rPr>
        <w:t>由我校资深教授、博导授课，聘请校内外著名学者、专家做专题讲座。</w:t>
      </w:r>
    </w:p>
    <w:p>
      <w:pPr>
        <w:rPr>
          <w:rFonts w:asciiTheme="majorEastAsia" w:hAnsiTheme="majorEastAsia" w:eastAsiaTheme="majorEastAsia"/>
          <w:sz w:val="28"/>
          <w:szCs w:val="28"/>
        </w:rPr>
      </w:pPr>
      <w:r>
        <w:rPr>
          <w:rFonts w:hint="eastAsia"/>
          <w:sz w:val="28"/>
          <w:szCs w:val="28"/>
        </w:rPr>
        <w:t>二、</w:t>
      </w:r>
      <w:r>
        <w:rPr>
          <w:rFonts w:hint="eastAsia" w:asciiTheme="majorEastAsia" w:hAnsiTheme="majorEastAsia" w:eastAsiaTheme="majorEastAsia"/>
          <w:sz w:val="28"/>
          <w:szCs w:val="28"/>
        </w:rPr>
        <w:t>课程设置</w:t>
      </w:r>
    </w:p>
    <w:tbl>
      <w:tblPr>
        <w:tblStyle w:val="5"/>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16"/>
        <w:gridCol w:w="2856"/>
        <w:gridCol w:w="854"/>
        <w:gridCol w:w="3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34" w:hRule="atLeast"/>
          <w:jc w:val="center"/>
        </w:trPr>
        <w:tc>
          <w:tcPr>
            <w:tcW w:w="3672" w:type="dxa"/>
            <w:gridSpan w:val="2"/>
            <w:shd w:val="clear" w:color="auto" w:fill="FFFFFF"/>
            <w:vAlign w:val="center"/>
          </w:tcPr>
          <w:p>
            <w:pPr>
              <w:spacing w:line="360" w:lineRule="exact"/>
              <w:jc w:val="center"/>
              <w:rPr>
                <w:rFonts w:ascii="Verdana" w:hAnsi="Verdana" w:cs="Verdana"/>
                <w:b/>
                <w:szCs w:val="21"/>
              </w:rPr>
            </w:pPr>
            <w:r>
              <w:rPr>
                <w:rFonts w:ascii="Verdana" w:hAnsi="Verdana" w:cs="Verdana"/>
                <w:b/>
                <w:color w:val="FF0000"/>
                <w:szCs w:val="21"/>
              </w:rPr>
              <w:t xml:space="preserve">第一模块 </w:t>
            </w:r>
            <w:r>
              <w:rPr>
                <w:rFonts w:ascii="Verdana" w:hAnsi="Verdana" w:cs="Verdana"/>
                <w:b/>
                <w:szCs w:val="21"/>
              </w:rPr>
              <w:t xml:space="preserve"> 医疗事务法律理论</w:t>
            </w:r>
          </w:p>
        </w:tc>
        <w:tc>
          <w:tcPr>
            <w:tcW w:w="4548" w:type="dxa"/>
            <w:gridSpan w:val="2"/>
            <w:shd w:val="clear" w:color="auto" w:fill="FFFFFF"/>
            <w:vAlign w:val="center"/>
          </w:tcPr>
          <w:p>
            <w:pPr>
              <w:spacing w:line="360" w:lineRule="exact"/>
              <w:jc w:val="center"/>
              <w:rPr>
                <w:rFonts w:ascii="Verdana" w:hAnsi="Verdana" w:cs="Verdana"/>
                <w:b/>
                <w:szCs w:val="21"/>
              </w:rPr>
            </w:pPr>
            <w:r>
              <w:rPr>
                <w:rFonts w:ascii="Verdana" w:hAnsi="Verdana" w:cs="Verdana"/>
                <w:b/>
                <w:color w:val="FF0000"/>
                <w:szCs w:val="21"/>
              </w:rPr>
              <w:t>第二模块</w:t>
            </w:r>
            <w:r>
              <w:rPr>
                <w:rFonts w:ascii="Verdana" w:hAnsi="Verdana" w:cs="Verdana"/>
                <w:b/>
                <w:szCs w:val="21"/>
              </w:rPr>
              <w:t xml:space="preserve">   医疗事务法律实务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1-1</w:t>
            </w:r>
          </w:p>
        </w:tc>
        <w:tc>
          <w:tcPr>
            <w:tcW w:w="2856" w:type="dxa"/>
            <w:shd w:val="clear" w:color="auto" w:fill="FFFFFF"/>
            <w:vAlign w:val="center"/>
          </w:tcPr>
          <w:p>
            <w:pPr>
              <w:spacing w:line="360" w:lineRule="exact"/>
              <w:rPr>
                <w:rFonts w:ascii="Verdana" w:hAnsi="Verdana" w:cs="Verdana"/>
              </w:rPr>
            </w:pPr>
            <w:r>
              <w:rPr>
                <w:rFonts w:ascii="Verdana" w:hAnsi="Verdana" w:cs="Verdana"/>
              </w:rPr>
              <w:t>医院法律制度理论</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2-1</w:t>
            </w:r>
          </w:p>
        </w:tc>
        <w:tc>
          <w:tcPr>
            <w:tcW w:w="3694" w:type="dxa"/>
            <w:shd w:val="clear" w:color="auto" w:fill="FFFFFF"/>
            <w:vAlign w:val="center"/>
          </w:tcPr>
          <w:p>
            <w:pPr>
              <w:spacing w:line="360" w:lineRule="exact"/>
              <w:rPr>
                <w:rFonts w:ascii="Verdana" w:hAnsi="Verdana" w:cs="Verdana"/>
              </w:rPr>
            </w:pPr>
            <w:r>
              <w:rPr>
                <w:rFonts w:ascii="Verdana" w:hAnsi="Verdana" w:cs="Verdana"/>
              </w:rPr>
              <w:t>医疗纠纷处理法律制度概述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1-2</w:t>
            </w:r>
          </w:p>
        </w:tc>
        <w:tc>
          <w:tcPr>
            <w:tcW w:w="2856" w:type="dxa"/>
            <w:shd w:val="clear" w:color="auto" w:fill="FFFFFF"/>
            <w:vAlign w:val="center"/>
          </w:tcPr>
          <w:p>
            <w:pPr>
              <w:spacing w:line="360" w:lineRule="exact"/>
              <w:rPr>
                <w:rFonts w:ascii="Verdana" w:hAnsi="Verdana" w:cs="Verdana"/>
              </w:rPr>
            </w:pPr>
            <w:r>
              <w:rPr>
                <w:rFonts w:ascii="Verdana" w:hAnsi="Verdana" w:cs="Verdana"/>
              </w:rPr>
              <w:t>医事法学</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2-2</w:t>
            </w:r>
          </w:p>
        </w:tc>
        <w:tc>
          <w:tcPr>
            <w:tcW w:w="3694" w:type="dxa"/>
            <w:shd w:val="clear" w:color="auto" w:fill="FFFFFF"/>
            <w:vAlign w:val="center"/>
          </w:tcPr>
          <w:p>
            <w:pPr>
              <w:spacing w:line="360" w:lineRule="exact"/>
              <w:rPr>
                <w:rFonts w:ascii="Verdana" w:hAnsi="Verdana" w:cs="Verdana"/>
              </w:rPr>
            </w:pPr>
            <w:r>
              <w:rPr>
                <w:rFonts w:ascii="Verdana" w:hAnsi="Verdana" w:cs="Verdana"/>
              </w:rPr>
              <w:t>医疗事故</w:t>
            </w:r>
            <w:r>
              <w:rPr>
                <w:rFonts w:hint="eastAsia" w:ascii="Verdana" w:hAnsi="Verdana" w:cs="Verdana"/>
              </w:rPr>
              <w:t>与</w:t>
            </w:r>
            <w:r>
              <w:rPr>
                <w:rFonts w:ascii="Verdana" w:hAnsi="Verdana" w:cs="Verdana"/>
              </w:rPr>
              <w:t>医疗损害鉴定概论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1-3</w:t>
            </w:r>
          </w:p>
        </w:tc>
        <w:tc>
          <w:tcPr>
            <w:tcW w:w="2856" w:type="dxa"/>
            <w:shd w:val="clear" w:color="auto" w:fill="FFFFFF"/>
            <w:vAlign w:val="center"/>
          </w:tcPr>
          <w:p>
            <w:pPr>
              <w:spacing w:line="360" w:lineRule="exact"/>
              <w:rPr>
                <w:rFonts w:ascii="Verdana" w:hAnsi="Verdana" w:cs="Verdana"/>
              </w:rPr>
            </w:pPr>
            <w:r>
              <w:rPr>
                <w:rFonts w:ascii="Verdana" w:hAnsi="Verdana" w:cs="Verdana"/>
              </w:rPr>
              <w:t>药事法学</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2-3</w:t>
            </w:r>
          </w:p>
        </w:tc>
        <w:tc>
          <w:tcPr>
            <w:tcW w:w="3694" w:type="dxa"/>
            <w:shd w:val="clear" w:color="auto" w:fill="FFFFFF"/>
            <w:vAlign w:val="center"/>
          </w:tcPr>
          <w:p>
            <w:pPr>
              <w:spacing w:line="360" w:lineRule="exact"/>
              <w:rPr>
                <w:rFonts w:ascii="Verdana" w:hAnsi="Verdana" w:cs="Verdana"/>
              </w:rPr>
            </w:pPr>
            <w:r>
              <w:rPr>
                <w:rFonts w:ascii="Verdana" w:hAnsi="Verdana" w:cs="Verdana"/>
              </w:rPr>
              <w:t>医疗纠纷应急与非诉讼解决策略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1-4</w:t>
            </w:r>
          </w:p>
        </w:tc>
        <w:tc>
          <w:tcPr>
            <w:tcW w:w="2856" w:type="dxa"/>
            <w:shd w:val="clear" w:color="auto" w:fill="FFFFFF"/>
            <w:vAlign w:val="center"/>
          </w:tcPr>
          <w:p>
            <w:pPr>
              <w:spacing w:line="360" w:lineRule="exact"/>
              <w:rPr>
                <w:rFonts w:ascii="Verdana" w:hAnsi="Verdana" w:cs="Verdana"/>
              </w:rPr>
            </w:pPr>
            <w:r>
              <w:rPr>
                <w:rFonts w:ascii="Verdana" w:hAnsi="Verdana" w:cs="Verdana"/>
              </w:rPr>
              <w:t>医疗保障法律制度概论</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2-4</w:t>
            </w:r>
          </w:p>
        </w:tc>
        <w:tc>
          <w:tcPr>
            <w:tcW w:w="3694" w:type="dxa"/>
            <w:shd w:val="clear" w:color="auto" w:fill="FFFFFF"/>
            <w:vAlign w:val="center"/>
          </w:tcPr>
          <w:p>
            <w:pPr>
              <w:spacing w:line="360" w:lineRule="exact"/>
              <w:rPr>
                <w:rFonts w:ascii="Verdana" w:hAnsi="Verdana" w:cs="Verdana"/>
              </w:rPr>
            </w:pPr>
            <w:r>
              <w:rPr>
                <w:rFonts w:ascii="Verdana" w:hAnsi="Verdana" w:cs="Verdana"/>
              </w:rPr>
              <w:t>医疗损害侵权与诉讼实务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1-5</w:t>
            </w:r>
          </w:p>
        </w:tc>
        <w:tc>
          <w:tcPr>
            <w:tcW w:w="2856" w:type="dxa"/>
            <w:shd w:val="clear" w:color="auto" w:fill="FFFFFF"/>
            <w:vAlign w:val="center"/>
          </w:tcPr>
          <w:p>
            <w:pPr>
              <w:spacing w:line="360" w:lineRule="exact"/>
              <w:rPr>
                <w:rFonts w:ascii="Verdana" w:hAnsi="Verdana" w:cs="Verdana"/>
                <w:color w:val="FF0000"/>
              </w:rPr>
            </w:pPr>
            <w:r>
              <w:rPr>
                <w:rFonts w:ascii="Verdana" w:hAnsi="Verdana" w:cs="Verdana"/>
              </w:rPr>
              <w:t>行政法与行政诉讼法</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2-5</w:t>
            </w:r>
          </w:p>
        </w:tc>
        <w:tc>
          <w:tcPr>
            <w:tcW w:w="3694" w:type="dxa"/>
            <w:shd w:val="clear" w:color="auto" w:fill="FFFFFF"/>
            <w:vAlign w:val="center"/>
          </w:tcPr>
          <w:p>
            <w:pPr>
              <w:spacing w:line="360" w:lineRule="exact"/>
              <w:rPr>
                <w:rFonts w:ascii="Verdana" w:hAnsi="Verdana" w:cs="Verdana"/>
                <w:color w:val="FF0000"/>
              </w:rPr>
            </w:pPr>
            <w:r>
              <w:rPr>
                <w:rFonts w:ascii="Verdana" w:hAnsi="Verdana" w:cs="Verdana"/>
              </w:rPr>
              <w:t>医疗纠纷处理法律事务文书写作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hint="eastAsia" w:ascii="Verdana" w:hAnsi="Verdana" w:cs="Verdana"/>
              </w:rPr>
              <w:t>1-6</w:t>
            </w:r>
          </w:p>
        </w:tc>
        <w:tc>
          <w:tcPr>
            <w:tcW w:w="2856" w:type="dxa"/>
            <w:shd w:val="clear" w:color="auto" w:fill="FFFFFF"/>
            <w:vAlign w:val="center"/>
          </w:tcPr>
          <w:p>
            <w:pPr>
              <w:spacing w:line="360" w:lineRule="exact"/>
              <w:rPr>
                <w:rFonts w:ascii="Verdana" w:hAnsi="Verdana" w:cs="Verdana"/>
              </w:rPr>
            </w:pPr>
            <w:r>
              <w:rPr>
                <w:rFonts w:ascii="Verdana" w:hAnsi="Verdana" w:cs="Verdana"/>
              </w:rPr>
              <w:t>卫生法概论</w:t>
            </w:r>
          </w:p>
        </w:tc>
        <w:tc>
          <w:tcPr>
            <w:tcW w:w="854" w:type="dxa"/>
            <w:shd w:val="clear" w:color="auto" w:fill="FFFFFF"/>
            <w:vAlign w:val="center"/>
          </w:tcPr>
          <w:p>
            <w:pPr>
              <w:spacing w:line="360" w:lineRule="exact"/>
              <w:jc w:val="center"/>
              <w:rPr>
                <w:rFonts w:ascii="Verdana" w:hAnsi="Verdana" w:cs="Verdana"/>
              </w:rPr>
            </w:pPr>
          </w:p>
        </w:tc>
        <w:tc>
          <w:tcPr>
            <w:tcW w:w="3694" w:type="dxa"/>
            <w:shd w:val="clear" w:color="auto" w:fill="FFFFFF"/>
            <w:vAlign w:val="center"/>
          </w:tcPr>
          <w:p>
            <w:pPr>
              <w:spacing w:line="360" w:lineRule="exact"/>
              <w:rPr>
                <w:rFonts w:ascii="Verdana" w:hAnsi="Verdana" w:cs="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3672" w:type="dxa"/>
            <w:gridSpan w:val="2"/>
            <w:shd w:val="clear" w:color="auto" w:fill="FFFFFF"/>
            <w:vAlign w:val="center"/>
          </w:tcPr>
          <w:p>
            <w:pPr>
              <w:spacing w:line="360" w:lineRule="exact"/>
              <w:jc w:val="center"/>
              <w:rPr>
                <w:rFonts w:ascii="Verdana" w:hAnsi="Verdana" w:cs="Verdana"/>
                <w:b/>
                <w:szCs w:val="21"/>
              </w:rPr>
            </w:pPr>
            <w:r>
              <w:rPr>
                <w:rFonts w:ascii="Verdana" w:hAnsi="Verdana" w:cs="Verdana"/>
                <w:b/>
                <w:color w:val="FF0000"/>
                <w:szCs w:val="21"/>
              </w:rPr>
              <w:t>第三模块</w:t>
            </w:r>
            <w:r>
              <w:rPr>
                <w:rFonts w:ascii="Verdana" w:hAnsi="Verdana" w:cs="Verdana"/>
                <w:b/>
                <w:szCs w:val="21"/>
              </w:rPr>
              <w:t xml:space="preserve">   院校学位课程</w:t>
            </w:r>
          </w:p>
        </w:tc>
        <w:tc>
          <w:tcPr>
            <w:tcW w:w="4548" w:type="dxa"/>
            <w:gridSpan w:val="2"/>
            <w:shd w:val="clear" w:color="auto" w:fill="FFFFFF"/>
            <w:vAlign w:val="center"/>
          </w:tcPr>
          <w:p>
            <w:pPr>
              <w:spacing w:line="360" w:lineRule="exact"/>
              <w:jc w:val="center"/>
              <w:rPr>
                <w:rFonts w:ascii="Verdana" w:hAnsi="Verdana" w:cs="Verdana"/>
                <w:b/>
                <w:color w:val="000000"/>
                <w:szCs w:val="21"/>
              </w:rPr>
            </w:pPr>
            <w:r>
              <w:rPr>
                <w:rFonts w:ascii="Verdana" w:hAnsi="Verdana" w:cs="Verdana"/>
                <w:b/>
                <w:color w:val="FF0000"/>
                <w:szCs w:val="21"/>
              </w:rPr>
              <w:t xml:space="preserve">第四模块  </w:t>
            </w:r>
            <w:r>
              <w:rPr>
                <w:rFonts w:ascii="Verdana" w:hAnsi="Verdana" w:cs="Verdana"/>
                <w:b/>
                <w:color w:val="000000"/>
                <w:szCs w:val="21"/>
              </w:rPr>
              <w:t xml:space="preserve"> 国家考试课程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3-1</w:t>
            </w:r>
          </w:p>
        </w:tc>
        <w:tc>
          <w:tcPr>
            <w:tcW w:w="2856" w:type="dxa"/>
            <w:shd w:val="clear" w:color="auto" w:fill="FFFFFF"/>
            <w:vAlign w:val="center"/>
          </w:tcPr>
          <w:p>
            <w:pPr>
              <w:spacing w:line="360" w:lineRule="exact"/>
              <w:rPr>
                <w:rFonts w:ascii="Verdana" w:hAnsi="Verdana" w:cs="Verdana"/>
              </w:rPr>
            </w:pPr>
            <w:r>
              <w:rPr>
                <w:rFonts w:hint="eastAsia" w:ascii="Verdana" w:hAnsi="Verdana" w:cs="Verdana"/>
              </w:rPr>
              <w:t>证据法学</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4-1</w:t>
            </w:r>
          </w:p>
        </w:tc>
        <w:tc>
          <w:tcPr>
            <w:tcW w:w="3694" w:type="dxa"/>
            <w:shd w:val="clear" w:color="auto" w:fill="FFFFFF"/>
            <w:vAlign w:val="center"/>
          </w:tcPr>
          <w:p>
            <w:pPr>
              <w:spacing w:line="360" w:lineRule="exact"/>
              <w:rPr>
                <w:rFonts w:ascii="Verdana" w:hAnsi="Verdana" w:cs="Verdana"/>
              </w:rPr>
            </w:pPr>
            <w:r>
              <w:rPr>
                <w:rFonts w:ascii="Verdana" w:hAnsi="Verdana" w:cs="Verdana"/>
              </w:rPr>
              <w:t>宪法学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3-2</w:t>
            </w:r>
          </w:p>
        </w:tc>
        <w:tc>
          <w:tcPr>
            <w:tcW w:w="2856" w:type="dxa"/>
            <w:shd w:val="clear" w:color="auto" w:fill="FFFFFF"/>
            <w:vAlign w:val="center"/>
          </w:tcPr>
          <w:p>
            <w:pPr>
              <w:spacing w:line="360" w:lineRule="exact"/>
              <w:rPr>
                <w:rFonts w:ascii="Verdana" w:hAnsi="Verdana" w:cs="Verdana"/>
              </w:rPr>
            </w:pPr>
            <w:r>
              <w:rPr>
                <w:rFonts w:ascii="Verdana" w:hAnsi="Verdana" w:cs="Verdana"/>
              </w:rPr>
              <w:t>刑事诉讼法学</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4-2</w:t>
            </w:r>
          </w:p>
        </w:tc>
        <w:tc>
          <w:tcPr>
            <w:tcW w:w="3694" w:type="dxa"/>
            <w:shd w:val="clear" w:color="auto" w:fill="FFFFFF"/>
            <w:vAlign w:val="center"/>
          </w:tcPr>
          <w:p>
            <w:pPr>
              <w:spacing w:line="360" w:lineRule="exact"/>
              <w:rPr>
                <w:rFonts w:ascii="Verdana" w:hAnsi="Verdana" w:cs="Verdana"/>
              </w:rPr>
            </w:pPr>
            <w:r>
              <w:rPr>
                <w:rFonts w:ascii="Verdana" w:hAnsi="Verdana" w:cs="Verdana"/>
              </w:rPr>
              <w:t>刑法学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3-3</w:t>
            </w:r>
          </w:p>
        </w:tc>
        <w:tc>
          <w:tcPr>
            <w:tcW w:w="2856" w:type="dxa"/>
            <w:shd w:val="clear" w:color="auto" w:fill="FFFFFF"/>
            <w:vAlign w:val="center"/>
          </w:tcPr>
          <w:p>
            <w:pPr>
              <w:spacing w:line="360" w:lineRule="exact"/>
              <w:rPr>
                <w:rFonts w:ascii="Verdana" w:hAnsi="Verdana" w:cs="Verdana"/>
              </w:rPr>
            </w:pPr>
            <w:r>
              <w:rPr>
                <w:rFonts w:hint="eastAsia" w:ascii="Verdana" w:hAnsi="Verdana" w:cs="Verdana"/>
              </w:rPr>
              <w:t>民</w:t>
            </w:r>
            <w:r>
              <w:rPr>
                <w:rFonts w:ascii="Verdana" w:hAnsi="Verdana" w:cs="Verdana"/>
              </w:rPr>
              <w:t>事诉讼法学</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4-3</w:t>
            </w:r>
          </w:p>
        </w:tc>
        <w:tc>
          <w:tcPr>
            <w:tcW w:w="3694" w:type="dxa"/>
            <w:shd w:val="clear" w:color="auto" w:fill="FFFFFF"/>
            <w:vAlign w:val="center"/>
          </w:tcPr>
          <w:p>
            <w:pPr>
              <w:spacing w:line="360" w:lineRule="exact"/>
              <w:rPr>
                <w:rFonts w:ascii="Verdana" w:hAnsi="Verdana" w:cs="Verdana"/>
              </w:rPr>
            </w:pPr>
            <w:r>
              <w:rPr>
                <w:rFonts w:ascii="Verdana" w:hAnsi="Verdana" w:cs="Verdana"/>
              </w:rPr>
              <w:t>民法总论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3-4</w:t>
            </w:r>
          </w:p>
        </w:tc>
        <w:tc>
          <w:tcPr>
            <w:tcW w:w="2856" w:type="dxa"/>
            <w:shd w:val="clear" w:color="auto" w:fill="FFFFFF"/>
            <w:vAlign w:val="center"/>
          </w:tcPr>
          <w:p>
            <w:pPr>
              <w:spacing w:line="360" w:lineRule="exact"/>
              <w:rPr>
                <w:rFonts w:ascii="Verdana" w:hAnsi="Verdana" w:cs="Verdana"/>
              </w:rPr>
            </w:pPr>
            <w:r>
              <w:rPr>
                <w:rFonts w:hint="eastAsia" w:ascii="Verdana" w:hAnsi="Verdana" w:cs="Verdana"/>
              </w:rPr>
              <w:t>司法鉴定学概论</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4-4</w:t>
            </w:r>
          </w:p>
        </w:tc>
        <w:tc>
          <w:tcPr>
            <w:tcW w:w="3694" w:type="dxa"/>
            <w:shd w:val="clear" w:color="auto" w:fill="FFFFFF"/>
            <w:vAlign w:val="center"/>
          </w:tcPr>
          <w:p>
            <w:pPr>
              <w:spacing w:line="360" w:lineRule="exact"/>
              <w:rPr>
                <w:rFonts w:ascii="Verdana" w:hAnsi="Verdana" w:cs="Verdana"/>
              </w:rPr>
            </w:pPr>
            <w:r>
              <w:rPr>
                <w:rFonts w:ascii="Verdana" w:hAnsi="Verdana" w:cs="Verdana"/>
              </w:rPr>
              <w:t>新编法理学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816" w:type="dxa"/>
            <w:shd w:val="clear" w:color="auto" w:fill="FFFFFF"/>
            <w:vAlign w:val="center"/>
          </w:tcPr>
          <w:p>
            <w:pPr>
              <w:spacing w:line="360" w:lineRule="exact"/>
              <w:rPr>
                <w:rFonts w:ascii="Verdana" w:hAnsi="Verdana" w:cs="Verdana"/>
              </w:rPr>
            </w:pPr>
            <w:r>
              <w:rPr>
                <w:rFonts w:hint="eastAsia" w:ascii="Verdana" w:hAnsi="Verdana" w:cs="Verdana"/>
              </w:rPr>
              <w:t>3-5</w:t>
            </w:r>
          </w:p>
        </w:tc>
        <w:tc>
          <w:tcPr>
            <w:tcW w:w="2856" w:type="dxa"/>
            <w:shd w:val="clear" w:color="auto" w:fill="FFFFFF"/>
            <w:vAlign w:val="center"/>
          </w:tcPr>
          <w:p>
            <w:pPr>
              <w:spacing w:line="360" w:lineRule="exact"/>
              <w:rPr>
                <w:rFonts w:ascii="Verdana" w:hAnsi="Verdana" w:cs="Verdana"/>
              </w:rPr>
            </w:pPr>
            <w:r>
              <w:rPr>
                <w:rFonts w:ascii="Verdana" w:hAnsi="Verdana" w:cs="Verdana"/>
              </w:rPr>
              <w:t>英语</w:t>
            </w:r>
          </w:p>
        </w:tc>
        <w:tc>
          <w:tcPr>
            <w:tcW w:w="854" w:type="dxa"/>
            <w:vMerge w:val="restart"/>
            <w:shd w:val="clear" w:color="auto" w:fill="FFFFFF"/>
            <w:vAlign w:val="center"/>
          </w:tcPr>
          <w:p>
            <w:pPr>
              <w:spacing w:line="360" w:lineRule="exact"/>
              <w:jc w:val="center"/>
              <w:rPr>
                <w:rFonts w:ascii="Verdana" w:hAnsi="Verdana" w:cs="Verdana"/>
              </w:rPr>
            </w:pPr>
            <w:r>
              <w:rPr>
                <w:rFonts w:ascii="Verdana" w:hAnsi="Verdana" w:cs="Verdana"/>
              </w:rPr>
              <w:t>4-5</w:t>
            </w:r>
          </w:p>
        </w:tc>
        <w:tc>
          <w:tcPr>
            <w:tcW w:w="3694" w:type="dxa"/>
            <w:vMerge w:val="restart"/>
            <w:shd w:val="clear" w:color="auto" w:fill="FFFFFF"/>
            <w:vAlign w:val="center"/>
          </w:tcPr>
          <w:p>
            <w:pPr>
              <w:spacing w:line="360" w:lineRule="exact"/>
              <w:rPr>
                <w:rFonts w:ascii="Verdana" w:hAnsi="Verdana" w:cs="Verdana"/>
              </w:rPr>
            </w:pPr>
            <w:r>
              <w:rPr>
                <w:rFonts w:ascii="Verdana" w:hAnsi="Verdana" w:cs="Verdana"/>
              </w:rPr>
              <w:t>中国法制史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16" w:type="dxa"/>
            <w:shd w:val="clear" w:color="auto" w:fill="FFFFFF"/>
            <w:vAlign w:val="center"/>
          </w:tcPr>
          <w:p>
            <w:pPr>
              <w:spacing w:line="360" w:lineRule="exact"/>
              <w:jc w:val="center"/>
              <w:rPr>
                <w:rFonts w:ascii="Verdana" w:hAnsi="Verdana" w:cs="Verdana"/>
              </w:rPr>
            </w:pPr>
            <w:r>
              <w:rPr>
                <w:rFonts w:hint="eastAsia" w:ascii="Verdana" w:hAnsi="Verdana" w:cs="Verdana"/>
              </w:rPr>
              <w:t>3-6</w:t>
            </w:r>
          </w:p>
        </w:tc>
        <w:tc>
          <w:tcPr>
            <w:tcW w:w="2856" w:type="dxa"/>
            <w:shd w:val="clear" w:color="auto" w:fill="FFFFFF"/>
            <w:vAlign w:val="center"/>
          </w:tcPr>
          <w:p>
            <w:pPr>
              <w:spacing w:line="360" w:lineRule="exact"/>
              <w:rPr>
                <w:rFonts w:ascii="Verdana" w:hAnsi="Verdana" w:cs="Verdana"/>
              </w:rPr>
            </w:pPr>
            <w:r>
              <w:rPr>
                <w:rFonts w:ascii="Verdana" w:hAnsi="Verdana" w:cs="Verdana"/>
              </w:rPr>
              <w:t>思想政治</w:t>
            </w:r>
          </w:p>
        </w:tc>
        <w:tc>
          <w:tcPr>
            <w:tcW w:w="854" w:type="dxa"/>
            <w:vMerge w:val="continue"/>
            <w:shd w:val="clear" w:color="auto" w:fill="FFFFFF"/>
            <w:vAlign w:val="center"/>
          </w:tcPr>
          <w:p>
            <w:pPr>
              <w:spacing w:line="360" w:lineRule="exact"/>
              <w:jc w:val="center"/>
              <w:rPr>
                <w:rFonts w:ascii="Verdana" w:hAnsi="Verdana" w:cs="Verdana"/>
              </w:rPr>
            </w:pPr>
          </w:p>
        </w:tc>
        <w:tc>
          <w:tcPr>
            <w:tcW w:w="3694" w:type="dxa"/>
            <w:vMerge w:val="continue"/>
            <w:shd w:val="clear" w:color="auto" w:fill="FFFFFF"/>
            <w:vAlign w:val="center"/>
          </w:tcPr>
          <w:p>
            <w:pPr>
              <w:spacing w:line="360" w:lineRule="exact"/>
              <w:rPr>
                <w:rFonts w:ascii="Verdana" w:hAnsi="Verdana" w:cs="Verdana"/>
              </w:rPr>
            </w:pPr>
          </w:p>
        </w:tc>
      </w:tr>
    </w:tbl>
    <w:p>
      <w:pPr>
        <w:rPr>
          <w:sz w:val="28"/>
          <w:szCs w:val="28"/>
        </w:rPr>
      </w:pPr>
    </w:p>
    <w:p>
      <w:pPr>
        <w:rPr>
          <w:sz w:val="28"/>
          <w:szCs w:val="28"/>
        </w:rPr>
      </w:pPr>
      <w:r>
        <w:rPr>
          <w:rFonts w:hint="eastAsia"/>
          <w:sz w:val="28"/>
          <w:szCs w:val="28"/>
        </w:rPr>
        <w:t>三、报名条件及报名材料</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1、拥护《中华人民共和国宪法》，遵纪守法，品行端正，身体健康</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2、具有大专以上学历者。</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3、招生对象：</w:t>
      </w:r>
      <w:r>
        <w:rPr>
          <w:rFonts w:ascii="Verdana" w:hAnsi="Verdana" w:cs="Verdana"/>
          <w:sz w:val="28"/>
          <w:szCs w:val="28"/>
        </w:rPr>
        <w:t>从事公共卫生服务、卫生行政、卫生监督、医疗机构、医药公司、医疗投资公司、疾控中心等的高级医务管理人员</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4、报名材料：</w:t>
      </w:r>
      <w:r>
        <w:rPr>
          <w:rFonts w:hint="eastAsia" w:asciiTheme="majorEastAsia" w:hAnsiTheme="majorEastAsia" w:eastAsiaTheme="majorEastAsia"/>
          <w:sz w:val="28"/>
          <w:szCs w:val="28"/>
          <w:shd w:val="clear" w:color="auto" w:fill="FFFFFF"/>
        </w:rPr>
        <w:t>报名表、身份证、最高学历和学位证复印件各1份，1 寸和2寸近期免冠蓝底照片各2张。</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四、证书颁发与学位申请</w:t>
      </w:r>
    </w:p>
    <w:p>
      <w:pPr>
        <w:ind w:firstLine="540"/>
        <w:rPr>
          <w:rFonts w:asciiTheme="majorEastAsia" w:hAnsiTheme="majorEastAsia" w:eastAsiaTheme="majorEastAsia"/>
          <w:sz w:val="28"/>
          <w:szCs w:val="28"/>
          <w:shd w:val="clear" w:color="auto" w:fill="FFFFFF"/>
        </w:rPr>
      </w:pPr>
      <w:r>
        <w:rPr>
          <w:rFonts w:hint="eastAsia" w:asciiTheme="majorEastAsia" w:hAnsiTheme="majorEastAsia" w:eastAsiaTheme="majorEastAsia"/>
          <w:sz w:val="28"/>
          <w:szCs w:val="28"/>
        </w:rPr>
        <w:t>1、</w:t>
      </w:r>
      <w:r>
        <w:rPr>
          <w:rFonts w:hint="eastAsia" w:asciiTheme="majorEastAsia" w:hAnsiTheme="majorEastAsia" w:eastAsiaTheme="majorEastAsia"/>
          <w:sz w:val="28"/>
          <w:szCs w:val="28"/>
          <w:shd w:val="clear" w:color="auto" w:fill="FFFFFF"/>
        </w:rPr>
        <w:t>完成教学计划规定课程者，经学校考核合格后，颁发“中国政法大学同等学力研修班证书”（证书加盖学校钢印、校印、校长印）。</w:t>
      </w:r>
    </w:p>
    <w:p>
      <w:pPr>
        <w:ind w:firstLine="540"/>
        <w:rPr>
          <w:rFonts w:asciiTheme="majorEastAsia" w:hAnsiTheme="majorEastAsia" w:eastAsiaTheme="majorEastAsia"/>
          <w:sz w:val="28"/>
          <w:szCs w:val="28"/>
          <w:shd w:val="clear" w:color="auto" w:fill="FFFFFF"/>
        </w:rPr>
      </w:pPr>
      <w:r>
        <w:rPr>
          <w:rFonts w:hint="eastAsia" w:asciiTheme="majorEastAsia" w:hAnsiTheme="majorEastAsia" w:eastAsiaTheme="majorEastAsia"/>
          <w:sz w:val="28"/>
          <w:szCs w:val="28"/>
          <w:shd w:val="clear" w:color="auto" w:fill="FFFFFF"/>
        </w:rPr>
        <w:t>2、符合本硕士学位申请条件的，可申请中国政法大学法学硕士学位，通过论文答辩者，可获得硕士学位证书。</w:t>
      </w:r>
    </w:p>
    <w:p>
      <w:pPr>
        <w:rPr>
          <w:rFonts w:asciiTheme="majorEastAsia" w:hAnsiTheme="majorEastAsia" w:eastAsiaTheme="majorEastAsia"/>
          <w:sz w:val="28"/>
          <w:szCs w:val="28"/>
          <w:shd w:val="clear" w:color="auto" w:fill="FFFFFF"/>
        </w:rPr>
      </w:pPr>
      <w:r>
        <w:rPr>
          <w:rFonts w:hint="eastAsia" w:asciiTheme="majorEastAsia" w:hAnsiTheme="majorEastAsia" w:eastAsiaTheme="majorEastAsia"/>
          <w:sz w:val="28"/>
          <w:szCs w:val="28"/>
          <w:shd w:val="clear" w:color="auto" w:fill="FFFFFF"/>
        </w:rPr>
        <w:t>五、收费标准</w:t>
      </w:r>
    </w:p>
    <w:p>
      <w:pPr>
        <w:ind w:firstLine="540"/>
        <w:rPr>
          <w:rFonts w:asciiTheme="majorEastAsia" w:hAnsiTheme="majorEastAsia" w:eastAsiaTheme="majorEastAsia"/>
          <w:sz w:val="28"/>
          <w:szCs w:val="28"/>
          <w:shd w:val="clear" w:color="auto" w:fill="FFFFFF"/>
        </w:rPr>
      </w:pPr>
      <w:r>
        <w:rPr>
          <w:rFonts w:hint="eastAsia" w:asciiTheme="majorEastAsia" w:hAnsiTheme="majorEastAsia" w:eastAsiaTheme="majorEastAsia"/>
          <w:sz w:val="28"/>
          <w:szCs w:val="28"/>
          <w:shd w:val="clear" w:color="auto" w:fill="FFFFFF"/>
        </w:rPr>
        <w:t>1、学费：22000元</w:t>
      </w:r>
    </w:p>
    <w:p>
      <w:pPr>
        <w:pStyle w:val="2"/>
        <w:shd w:val="clear" w:color="auto" w:fill="FFFFFF"/>
        <w:spacing w:before="0" w:beforeAutospacing="0" w:after="0" w:afterAutospacing="0" w:line="375" w:lineRule="atLeast"/>
        <w:ind w:firstLine="562"/>
        <w:textAlignment w:val="top"/>
        <w:rPr>
          <w:rFonts w:cs="Arial" w:asciiTheme="majorEastAsia" w:hAnsiTheme="majorEastAsia" w:eastAsiaTheme="majorEastAsia"/>
          <w:sz w:val="28"/>
          <w:szCs w:val="28"/>
        </w:rPr>
      </w:pPr>
      <w:r>
        <w:rPr>
          <w:rFonts w:hint="eastAsia" w:asciiTheme="majorEastAsia" w:hAnsiTheme="majorEastAsia" w:eastAsiaTheme="majorEastAsia"/>
          <w:sz w:val="28"/>
          <w:szCs w:val="28"/>
          <w:shd w:val="clear" w:color="auto" w:fill="FFFFFF"/>
        </w:rPr>
        <w:t>2、</w:t>
      </w:r>
      <w:r>
        <w:rPr>
          <w:rStyle w:val="4"/>
          <w:rFonts w:hint="eastAsia" w:cs="Arial" w:asciiTheme="majorEastAsia" w:hAnsiTheme="majorEastAsia" w:eastAsiaTheme="majorEastAsia"/>
          <w:spacing w:val="15"/>
          <w:sz w:val="28"/>
          <w:szCs w:val="28"/>
          <w:shd w:val="clear" w:color="auto" w:fill="FFFFFF"/>
        </w:rPr>
        <w:t>交费账号：</w:t>
      </w:r>
    </w:p>
    <w:p>
      <w:pPr>
        <w:pStyle w:val="2"/>
        <w:shd w:val="clear" w:color="auto" w:fill="FFFFFF"/>
        <w:spacing w:before="0" w:beforeAutospacing="0" w:after="0" w:afterAutospacing="0" w:line="375" w:lineRule="atLeast"/>
        <w:ind w:firstLine="562"/>
        <w:textAlignment w:val="top"/>
        <w:rPr>
          <w:rFonts w:cs="Arial" w:asciiTheme="majorEastAsia" w:hAnsiTheme="majorEastAsia" w:eastAsiaTheme="majorEastAsia"/>
          <w:sz w:val="28"/>
          <w:szCs w:val="28"/>
        </w:rPr>
      </w:pPr>
      <w:r>
        <w:rPr>
          <w:rFonts w:hint="eastAsia" w:cs="Arial" w:asciiTheme="majorEastAsia" w:hAnsiTheme="majorEastAsia" w:eastAsiaTheme="majorEastAsia"/>
          <w:sz w:val="28"/>
          <w:szCs w:val="28"/>
          <w:shd w:val="clear" w:color="auto" w:fill="FFFFFF"/>
        </w:rPr>
        <w:t>开户银行：中国银行北京昌平支行</w:t>
      </w:r>
    </w:p>
    <w:p>
      <w:pPr>
        <w:pStyle w:val="2"/>
        <w:shd w:val="clear" w:color="auto" w:fill="FFFFFF"/>
        <w:spacing w:before="0" w:beforeAutospacing="0" w:after="0" w:afterAutospacing="0" w:line="375" w:lineRule="atLeast"/>
        <w:ind w:firstLine="562"/>
        <w:textAlignment w:val="top"/>
        <w:rPr>
          <w:rFonts w:cs="Arial" w:asciiTheme="majorEastAsia" w:hAnsiTheme="majorEastAsia" w:eastAsiaTheme="majorEastAsia"/>
          <w:sz w:val="28"/>
          <w:szCs w:val="28"/>
        </w:rPr>
      </w:pPr>
      <w:r>
        <w:rPr>
          <w:rFonts w:hint="eastAsia" w:cs="Arial" w:asciiTheme="majorEastAsia" w:hAnsiTheme="majorEastAsia" w:eastAsiaTheme="majorEastAsia"/>
          <w:sz w:val="28"/>
          <w:szCs w:val="28"/>
          <w:shd w:val="clear" w:color="auto" w:fill="FFFFFF"/>
        </w:rPr>
        <w:t>开户名称：中国政法大学</w:t>
      </w:r>
    </w:p>
    <w:p>
      <w:pPr>
        <w:pStyle w:val="2"/>
        <w:shd w:val="clear" w:color="auto" w:fill="FFFFFF"/>
        <w:spacing w:before="0" w:beforeAutospacing="0" w:after="0" w:afterAutospacing="0" w:line="375" w:lineRule="atLeast"/>
        <w:ind w:firstLine="560" w:firstLineChars="200"/>
        <w:textAlignment w:val="top"/>
        <w:rPr>
          <w:rFonts w:cs="Arial" w:asciiTheme="majorEastAsia" w:hAnsiTheme="majorEastAsia" w:eastAsiaTheme="majorEastAsia"/>
          <w:b/>
          <w:sz w:val="28"/>
          <w:szCs w:val="28"/>
        </w:rPr>
      </w:pPr>
      <w:r>
        <w:rPr>
          <w:rFonts w:hint="eastAsia" w:cs="Arial" w:asciiTheme="majorEastAsia" w:hAnsiTheme="majorEastAsia" w:eastAsiaTheme="majorEastAsia"/>
          <w:sz w:val="28"/>
          <w:szCs w:val="28"/>
          <w:shd w:val="clear" w:color="auto" w:fill="FFFFFF"/>
        </w:rPr>
        <w:t>帐　  号：</w:t>
      </w:r>
      <w:r>
        <w:rPr>
          <w:rFonts w:cs="Arial" w:asciiTheme="majorEastAsia" w:hAnsiTheme="majorEastAsia" w:eastAsiaTheme="majorEastAsia"/>
          <w:sz w:val="28"/>
          <w:szCs w:val="28"/>
          <w:shd w:val="clear" w:color="auto" w:fill="FFFFFF"/>
        </w:rPr>
        <w:t>3467 5600 7485</w:t>
      </w:r>
      <w:r>
        <w:rPr>
          <w:rFonts w:hint="eastAsia" w:cs="Arial" w:asciiTheme="majorEastAsia" w:hAnsiTheme="majorEastAsia" w:eastAsiaTheme="majorEastAsia"/>
          <w:sz w:val="28"/>
          <w:szCs w:val="28"/>
          <w:shd w:val="clear" w:color="auto" w:fill="FFFFFF"/>
        </w:rPr>
        <w:t xml:space="preserve">  备注：</w:t>
      </w:r>
      <w:r>
        <w:rPr>
          <w:rFonts w:hint="eastAsia" w:cs="Arial" w:asciiTheme="majorEastAsia" w:hAnsiTheme="majorEastAsia" w:eastAsiaTheme="majorEastAsia"/>
          <w:b/>
          <w:sz w:val="28"/>
          <w:szCs w:val="28"/>
          <w:shd w:val="clear" w:color="auto" w:fill="FFFFFF"/>
        </w:rPr>
        <w:t>证据院-证据法学费</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六、联系方式</w:t>
      </w:r>
    </w:p>
    <w:p>
      <w:pPr>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400-061-6585</w:t>
      </w:r>
    </w:p>
    <w:tbl>
      <w:tblPr>
        <w:tblStyle w:val="5"/>
        <w:tblpPr w:leftFromText="180" w:rightFromText="180" w:vertAnchor="page" w:horzAnchor="page" w:tblpX="2025" w:tblpY="2350"/>
        <w:tblOverlap w:val="never"/>
        <w:tblW w:w="8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59"/>
        <w:gridCol w:w="977"/>
        <w:gridCol w:w="493"/>
        <w:gridCol w:w="143"/>
        <w:gridCol w:w="545"/>
        <w:gridCol w:w="497"/>
        <w:gridCol w:w="349"/>
        <w:gridCol w:w="1111"/>
        <w:gridCol w:w="100"/>
        <w:gridCol w:w="585"/>
        <w:gridCol w:w="510"/>
        <w:gridCol w:w="232"/>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姓名</w:t>
            </w:r>
          </w:p>
        </w:tc>
        <w:tc>
          <w:tcPr>
            <w:tcW w:w="1136"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181"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性别</w:t>
            </w:r>
          </w:p>
        </w:tc>
        <w:tc>
          <w:tcPr>
            <w:tcW w:w="846"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11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r>
              <w:rPr>
                <w:rFonts w:hint="eastAsia"/>
                <w:vertAlign w:val="baseline"/>
                <w:lang w:eastAsia="zh-CN"/>
              </w:rPr>
              <w:t>出生年月</w:t>
            </w:r>
          </w:p>
        </w:tc>
        <w:tc>
          <w:tcPr>
            <w:tcW w:w="1427" w:type="dxa"/>
            <w:gridSpan w:val="4"/>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p>
        </w:tc>
        <w:tc>
          <w:tcPr>
            <w:tcW w:w="1693" w:type="dxa"/>
            <w:vMerge w:val="restart"/>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val="en-US" w:eastAsia="zh-CN"/>
              </w:rPr>
            </w:pPr>
            <w:r>
              <w:rPr>
                <w:rFonts w:hint="eastAsia"/>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民族</w:t>
            </w:r>
          </w:p>
        </w:tc>
        <w:tc>
          <w:tcPr>
            <w:tcW w:w="1136"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181"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申请专业</w:t>
            </w:r>
          </w:p>
        </w:tc>
        <w:tc>
          <w:tcPr>
            <w:tcW w:w="3384" w:type="dxa"/>
            <w:gridSpan w:val="7"/>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693"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00"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工作单位</w:t>
            </w:r>
          </w:p>
        </w:tc>
        <w:tc>
          <w:tcPr>
            <w:tcW w:w="5542" w:type="dxa"/>
            <w:gridSpan w:val="11"/>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693"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00"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现任职务</w:t>
            </w:r>
          </w:p>
        </w:tc>
        <w:tc>
          <w:tcPr>
            <w:tcW w:w="1613"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391"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身份证号</w:t>
            </w:r>
          </w:p>
        </w:tc>
        <w:tc>
          <w:tcPr>
            <w:tcW w:w="2538" w:type="dxa"/>
            <w:gridSpan w:val="5"/>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693"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41" w:type="dxa"/>
            <w:vMerge w:val="restart"/>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学</w:t>
            </w:r>
            <w:r>
              <w:rPr>
                <w:rFonts w:hint="eastAsia"/>
                <w:vertAlign w:val="baseline"/>
                <w:lang w:val="en-US" w:eastAsia="zh-CN"/>
              </w:rPr>
              <w:t xml:space="preserve">                </w:t>
            </w:r>
            <w:r>
              <w:rPr>
                <w:rFonts w:hint="eastAsia"/>
                <w:vertAlign w:val="baseline"/>
                <w:lang w:eastAsia="zh-CN"/>
              </w:rPr>
              <w:t>习</w:t>
            </w:r>
            <w:r>
              <w:rPr>
                <w:rFonts w:hint="eastAsia"/>
                <w:vertAlign w:val="baseline"/>
                <w:lang w:val="en-US" w:eastAsia="zh-CN"/>
              </w:rPr>
              <w:t xml:space="preserve">                                                                                                                        </w:t>
            </w:r>
            <w:r>
              <w:rPr>
                <w:rFonts w:hint="eastAsia"/>
                <w:vertAlign w:val="baseline"/>
                <w:lang w:eastAsia="zh-CN"/>
              </w:rPr>
              <w:t>简</w:t>
            </w:r>
            <w:r>
              <w:rPr>
                <w:rFonts w:hint="eastAsia"/>
                <w:vertAlign w:val="baseline"/>
                <w:lang w:val="en-US" w:eastAsia="zh-CN"/>
              </w:rPr>
              <w:t xml:space="preserve">    </w:t>
            </w:r>
            <w:r>
              <w:rPr>
                <w:rFonts w:hint="eastAsia"/>
                <w:vertAlign w:val="baseline"/>
                <w:lang w:eastAsia="zh-CN"/>
              </w:rPr>
              <w:t>历</w:t>
            </w:r>
          </w:p>
        </w:tc>
        <w:tc>
          <w:tcPr>
            <w:tcW w:w="1772" w:type="dxa"/>
            <w:gridSpan w:val="4"/>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毕业学校</w:t>
            </w:r>
          </w:p>
        </w:tc>
        <w:tc>
          <w:tcPr>
            <w:tcW w:w="5622" w:type="dxa"/>
            <w:gridSpan w:val="9"/>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41"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772" w:type="dxa"/>
            <w:gridSpan w:val="4"/>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学位</w:t>
            </w:r>
          </w:p>
        </w:tc>
        <w:tc>
          <w:tcPr>
            <w:tcW w:w="1391"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796"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最后学历</w:t>
            </w:r>
          </w:p>
        </w:tc>
        <w:tc>
          <w:tcPr>
            <w:tcW w:w="2435"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41"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772" w:type="dxa"/>
            <w:gridSpan w:val="4"/>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毕业时间</w:t>
            </w:r>
          </w:p>
        </w:tc>
        <w:tc>
          <w:tcPr>
            <w:tcW w:w="1391"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796"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所学专业</w:t>
            </w:r>
          </w:p>
        </w:tc>
        <w:tc>
          <w:tcPr>
            <w:tcW w:w="2435"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00"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通讯地址</w:t>
            </w:r>
          </w:p>
        </w:tc>
        <w:tc>
          <w:tcPr>
            <w:tcW w:w="4215" w:type="dxa"/>
            <w:gridSpan w:val="8"/>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095"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邮政编码</w:t>
            </w:r>
          </w:p>
        </w:tc>
        <w:tc>
          <w:tcPr>
            <w:tcW w:w="1925"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00"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家庭电话</w:t>
            </w:r>
          </w:p>
        </w:tc>
        <w:tc>
          <w:tcPr>
            <w:tcW w:w="1470"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185"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办公电话</w:t>
            </w:r>
          </w:p>
        </w:tc>
        <w:tc>
          <w:tcPr>
            <w:tcW w:w="1560"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095"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手机</w:t>
            </w:r>
          </w:p>
        </w:tc>
        <w:tc>
          <w:tcPr>
            <w:tcW w:w="1925"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00"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电子邮箱</w:t>
            </w:r>
          </w:p>
        </w:tc>
        <w:tc>
          <w:tcPr>
            <w:tcW w:w="7235" w:type="dxa"/>
            <w:gridSpan w:val="1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0" w:hRule="atLeast"/>
        </w:trPr>
        <w:tc>
          <w:tcPr>
            <w:tcW w:w="8435" w:type="dxa"/>
            <w:gridSpan w:val="14"/>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2436"/>
              </w:tabs>
              <w:rPr>
                <w:rFonts w:hint="eastAsia" w:eastAsia="宋体"/>
                <w:vertAlign w:val="baseline"/>
                <w:lang w:eastAsia="zh-CN"/>
              </w:rPr>
            </w:pPr>
            <w:r>
              <w:rPr>
                <w:rFonts w:hint="eastAsia"/>
                <w:vertAlign w:val="baseline"/>
                <w:lang w:eastAsia="zh-CN"/>
              </w:rPr>
              <w:tab/>
            </w:r>
            <w:r>
              <w:rPr>
                <w:rFonts w:hint="eastAsia"/>
                <w:vertAlign w:val="baseline"/>
                <w:lang w:val="en-US" w:eastAsia="zh-CN"/>
              </w:rPr>
              <w:t xml:space="preserve">       </w:t>
            </w:r>
            <w:r>
              <w:rPr>
                <w:rFonts w:hint="eastAsia"/>
                <w:vertAlign w:val="baseline"/>
                <w:lang w:eastAsia="zh-CN"/>
              </w:rPr>
              <w:t>个人工作简历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0" w:hRule="atLeast"/>
        </w:trPr>
        <w:tc>
          <w:tcPr>
            <w:tcW w:w="8435" w:type="dxa"/>
            <w:gridSpan w:val="14"/>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2436"/>
              </w:tabs>
              <w:rPr>
                <w:rFonts w:hint="eastAsia"/>
                <w:vertAlign w:val="baseline"/>
                <w:lang w:eastAsia="zh-CN"/>
              </w:rPr>
            </w:pPr>
          </w:p>
        </w:tc>
      </w:tr>
    </w:tbl>
    <w:p>
      <w:pPr>
        <w:jc w:val="center"/>
        <w:rPr>
          <w:rFonts w:hint="eastAsia" w:eastAsiaTheme="minorEastAsia"/>
          <w:b/>
          <w:sz w:val="36"/>
          <w:szCs w:val="36"/>
          <w:lang w:eastAsia="zh-CN"/>
        </w:rPr>
      </w:pPr>
      <w:r>
        <w:rPr>
          <w:rFonts w:hint="eastAsia"/>
          <w:b/>
          <w:sz w:val="36"/>
          <w:szCs w:val="36"/>
        </w:rPr>
        <w:t>中国政法大学证据科学研究院</w:t>
      </w:r>
      <w:r>
        <w:rPr>
          <w:rFonts w:hint="eastAsia"/>
          <w:b/>
          <w:sz w:val="36"/>
          <w:szCs w:val="36"/>
          <w:lang w:eastAsia="zh-CN"/>
        </w:rPr>
        <w:t>报名表</w:t>
      </w:r>
      <w:bookmarkStart w:id="0" w:name="_GoBack"/>
      <w:bookmarkEnd w:id="0"/>
    </w:p>
    <w:p>
      <w:pPr>
        <w:rPr>
          <w:rFonts w:hint="eastAsia" w:asciiTheme="majorEastAsia" w:hAnsiTheme="majorEastAsia" w:eastAsiaTheme="maj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51223"/>
    <w:rsid w:val="0B921BF4"/>
    <w:rsid w:val="73051223"/>
    <w:rsid w:val="77AF7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paragraph" w:customStyle="1" w:styleId="6">
    <w:name w:val="p"/>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2019-03-12T01:43:00Z</dcterms:created>
  <dc:creator>蓝海智慧郑老师</dc:creator>
  <cp:lastModifiedBy>蓝海智慧郑老师</cp:lastModifiedBy>
  <dcterms:modified xsi:type="dcterms:W3CDTF">2019-03-12T01:50:46Z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