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计算机应用技术专业（计算机应用及管理方向）在职研究生招生简章优化方案</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3" w:firstLineChars="200"/>
        <w:rPr>
          <w:rFonts w:ascii="Arial" w:hAnsi="Arial" w:cs="Arial"/>
          <w:color w:val="333333"/>
          <w:szCs w:val="21"/>
          <w:shd w:val="clear" w:color="auto" w:fill="FFFFFF"/>
        </w:rPr>
      </w:pPr>
      <w:r>
        <w:rPr>
          <w:rFonts w:hint="eastAsia" w:ascii="仿宋" w:hAnsi="仿宋" w:eastAsia="仿宋"/>
          <w:b/>
          <w:bCs/>
          <w:color w:val="FF0000"/>
          <w:sz w:val="32"/>
          <w:szCs w:val="32"/>
        </w:rPr>
        <w:t>★</w:t>
      </w:r>
      <w:r>
        <w:rPr>
          <w:rFonts w:ascii="仿宋" w:hAnsi="仿宋" w:eastAsia="仿宋"/>
          <w:b/>
          <w:bCs/>
          <w:color w:val="FF0000"/>
          <w:sz w:val="32"/>
          <w:szCs w:val="32"/>
        </w:rPr>
        <w:t>信息产业是21世纪的朝阳产业，也是我国国民经济的支柱产业。信息产业需要计算机科学与技术、信息系统与信息管理、数学基础与理论等各方面的专业人才和复合人才。中国人民大学信息学院正是培养信息领域高素质专业人才的基地。</w:t>
      </w:r>
    </w:p>
    <w:p>
      <w:pPr>
        <w:ind w:firstLine="643" w:firstLineChars="200"/>
        <w:rPr>
          <w:rFonts w:ascii="仿宋" w:hAnsi="仿宋" w:eastAsia="仿宋"/>
          <w:color w:val="FF0000"/>
          <w:sz w:val="32"/>
          <w:szCs w:val="32"/>
        </w:rPr>
      </w:pPr>
      <w:r>
        <w:rPr>
          <w:rFonts w:hint="eastAsia" w:ascii="仿宋" w:hAnsi="仿宋" w:eastAsia="仿宋"/>
          <w:b/>
          <w:bCs/>
          <w:color w:val="FF0000"/>
          <w:sz w:val="32"/>
          <w:szCs w:val="32"/>
        </w:rPr>
        <w:t>★中国人民大学信息学院是我国第一个以信息技术在经济管理领域应用为特色的学院，同时也是我国第一批高校计算机应用技术和高校数量经济学硕士点授予单位。</w:t>
      </w:r>
    </w:p>
    <w:p>
      <w:pPr>
        <w:ind w:firstLine="630" w:firstLineChars="196"/>
        <w:rPr>
          <w:rFonts w:ascii="仿宋" w:hAnsi="仿宋" w:eastAsia="仿宋"/>
          <w:color w:val="FF0000"/>
          <w:sz w:val="32"/>
          <w:szCs w:val="32"/>
        </w:rPr>
      </w:pPr>
      <w:r>
        <w:rPr>
          <w:rFonts w:hint="eastAsia" w:ascii="仿宋" w:hAnsi="仿宋" w:eastAsia="仿宋"/>
          <w:b/>
          <w:bCs/>
          <w:color w:val="FF0000"/>
          <w:sz w:val="32"/>
          <w:szCs w:val="32"/>
        </w:rPr>
        <w:t>★中国人民大学信息学院是我国第一个教育部数据库与商务智能工程研究中心。</w:t>
      </w:r>
    </w:p>
    <w:p>
      <w:pPr>
        <w:ind w:firstLine="640" w:firstLineChars="200"/>
        <w:rPr>
          <w:rFonts w:ascii="仿宋" w:hAnsi="仿宋" w:eastAsia="仿宋"/>
          <w:sz w:val="32"/>
          <w:szCs w:val="32"/>
        </w:rPr>
      </w:pPr>
      <w:r>
        <w:rPr>
          <w:rFonts w:hint="eastAsia" w:ascii="仿宋" w:hAnsi="仿宋" w:eastAsia="仿宋"/>
          <w:sz w:val="32"/>
          <w:szCs w:val="32"/>
        </w:rPr>
        <w:t>学院科研师资力量雄厚，先后承担众多重大科研项目，在国家“七五”、“八五”、“九五”科技攻关，国家自然科学基金、“863”高技术计划项目、国家社科基金等方面，取得了丰硕成果，曾获得国家科技进步二等奖、电子部科技进步特等奖、教育部科技进步二等奖、国家级优秀教材奖等30余项奖励。</w:t>
      </w:r>
    </w:p>
    <w:p>
      <w:pPr>
        <w:ind w:firstLine="640" w:firstLineChars="200"/>
        <w:rPr>
          <w:rFonts w:ascii="仿宋" w:hAnsi="仿宋" w:eastAsia="仿宋"/>
          <w:sz w:val="32"/>
          <w:szCs w:val="32"/>
        </w:rPr>
      </w:pPr>
      <w:r>
        <w:rPr>
          <w:rFonts w:hint="eastAsia" w:ascii="仿宋" w:hAnsi="仿宋" w:eastAsia="仿宋"/>
          <w:sz w:val="32"/>
          <w:szCs w:val="32"/>
        </w:rPr>
        <w:t>为适应改革开放和社会经济发展对高层次信息人才的需要，提高在职人员业务素质，经北京市学位委员会办公室备案同意，中国人民大学信息学院决定在北京举办计算机应用技术专业计算机应用及管理方向在职研究生课程进修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二、计算机应用及管理方向研究领域与课程设置</w:t>
      </w:r>
    </w:p>
    <w:p>
      <w:pPr>
        <w:ind w:firstLine="640" w:firstLineChars="200"/>
        <w:rPr>
          <w:rFonts w:ascii="仿宋" w:hAnsi="仿宋" w:eastAsia="仿宋"/>
          <w:sz w:val="32"/>
          <w:szCs w:val="32"/>
        </w:rPr>
      </w:pPr>
      <w:r>
        <w:rPr>
          <w:rFonts w:hint="eastAsia" w:ascii="仿宋" w:hAnsi="仿宋" w:eastAsia="仿宋"/>
          <w:sz w:val="32"/>
          <w:szCs w:val="32"/>
        </w:rPr>
        <w:t>根据我校信息学院专业培养方案的要求，开设全部课程，包括：</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szCs w:val="21"/>
              </w:rPr>
            </w:pPr>
            <w:r>
              <w:rPr>
                <w:rFonts w:hint="eastAsia" w:ascii="仿宋" w:hAnsi="仿宋" w:eastAsia="仿宋"/>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left"/>
              <w:rPr>
                <w:rFonts w:ascii="仿宋" w:hAnsi="仿宋" w:eastAsia="仿宋"/>
                <w:szCs w:val="21"/>
              </w:rPr>
            </w:pPr>
            <w:r>
              <w:rPr>
                <w:rFonts w:hint="eastAsia" w:ascii="仿宋" w:hAnsi="仿宋" w:eastAsia="仿宋"/>
                <w:szCs w:val="21"/>
              </w:rPr>
              <w:t>计算机应用及管理、数据管理与操作系统研究、大数据实时分析系统、商务智能、大数据人机交互技术、知识图谱与语义搜索、传感器网络、数据仓库与数据挖掘、数据集成、非机构化数据管理、基于新硬件的数据管理与数据分析、传感器网络数据管理与隐私保护、超大规模分布式存储系统研究、低功耗存储系统、数据库自调优自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szCs w:val="21"/>
              </w:rPr>
            </w:pPr>
            <w:r>
              <w:rPr>
                <w:rFonts w:hint="eastAsia" w:ascii="仿宋" w:hAnsi="仿宋" w:eastAsia="仿宋"/>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学科基础课</w:t>
            </w:r>
          </w:p>
        </w:tc>
        <w:tc>
          <w:tcPr>
            <w:tcW w:w="6853" w:type="dxa"/>
            <w:vAlign w:val="center"/>
          </w:tcPr>
          <w:p>
            <w:pPr>
              <w:jc w:val="center"/>
              <w:rPr>
                <w:rFonts w:ascii="仿宋" w:hAnsi="仿宋" w:eastAsia="仿宋"/>
                <w:szCs w:val="21"/>
              </w:rPr>
            </w:pPr>
            <w:r>
              <w:rPr>
                <w:rFonts w:hint="eastAsia" w:ascii="仿宋" w:hAnsi="仿宋" w:eastAsia="仿宋"/>
                <w:szCs w:val="21"/>
              </w:rPr>
              <w:t>数据仓库与数据挖掘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商务智能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网络与通讯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DBMS原理与设计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szCs w:val="21"/>
              </w:rPr>
            </w:pPr>
            <w:r>
              <w:rPr>
                <w:rFonts w:hint="eastAsia" w:ascii="仿宋" w:hAnsi="仿宋" w:eastAsia="仿宋"/>
                <w:b/>
                <w:szCs w:val="21"/>
              </w:rPr>
              <w:t>方向选修课</w:t>
            </w:r>
          </w:p>
        </w:tc>
        <w:tc>
          <w:tcPr>
            <w:tcW w:w="6853" w:type="dxa"/>
            <w:vAlign w:val="center"/>
          </w:tcPr>
          <w:p>
            <w:pPr>
              <w:jc w:val="center"/>
              <w:rPr>
                <w:rFonts w:ascii="仿宋" w:hAnsi="仿宋" w:eastAsia="仿宋"/>
                <w:szCs w:val="21"/>
              </w:rPr>
            </w:pPr>
            <w:r>
              <w:rPr>
                <w:rFonts w:hint="eastAsia" w:ascii="仿宋" w:hAnsi="仿宋" w:eastAsia="仿宋"/>
                <w:szCs w:val="21"/>
              </w:rPr>
              <w:t>软件过程改进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高级操作系统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计算理论导论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计算理论导论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离散数学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图论与组合优化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093" w:type="dxa"/>
            <w:vMerge w:val="restart"/>
            <w:vAlign w:val="center"/>
          </w:tcPr>
          <w:p>
            <w:pPr>
              <w:jc w:val="center"/>
              <w:rPr>
                <w:rFonts w:ascii="仿宋" w:hAnsi="仿宋" w:eastAsia="仿宋"/>
                <w:b/>
                <w:szCs w:val="21"/>
              </w:rPr>
            </w:pPr>
            <w:r>
              <w:rPr>
                <w:rFonts w:hint="eastAsia" w:ascii="仿宋" w:hAnsi="仿宋" w:eastAsia="仿宋"/>
                <w:b/>
                <w:szCs w:val="21"/>
              </w:rPr>
              <w:t>选修课</w:t>
            </w:r>
          </w:p>
          <w:p>
            <w:pPr>
              <w:jc w:val="center"/>
              <w:rPr>
                <w:rFonts w:ascii="仿宋" w:hAnsi="仿宋" w:eastAsia="仿宋"/>
                <w:szCs w:val="21"/>
              </w:rPr>
            </w:pPr>
            <w:r>
              <w:rPr>
                <w:rFonts w:hint="eastAsia" w:ascii="仿宋" w:hAnsi="仿宋" w:eastAsia="仿宋"/>
                <w:b/>
                <w:szCs w:val="21"/>
              </w:rPr>
              <w:t>（选开）</w:t>
            </w:r>
          </w:p>
        </w:tc>
        <w:tc>
          <w:tcPr>
            <w:tcW w:w="6853" w:type="dxa"/>
            <w:vAlign w:val="center"/>
          </w:tcPr>
          <w:p>
            <w:pPr>
              <w:jc w:val="center"/>
              <w:rPr>
                <w:rFonts w:ascii="仿宋" w:hAnsi="仿宋" w:eastAsia="仿宋"/>
                <w:szCs w:val="21"/>
              </w:rPr>
            </w:pPr>
            <w:r>
              <w:rPr>
                <w:rFonts w:hint="eastAsia" w:ascii="仿宋" w:hAnsi="仿宋" w:eastAsia="仿宋"/>
                <w:szCs w:val="21"/>
              </w:rPr>
              <w:t>面向对象程序设计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智能信息检索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WEB开发技术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运筹学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szCs w:val="21"/>
              </w:rPr>
            </w:pPr>
            <w:r>
              <w:rPr>
                <w:rFonts w:hint="eastAsia" w:ascii="仿宋" w:hAnsi="仿宋" w:eastAsia="仿宋"/>
                <w:b/>
                <w:szCs w:val="21"/>
              </w:rPr>
              <w:t>公共课</w:t>
            </w:r>
          </w:p>
        </w:tc>
        <w:tc>
          <w:tcPr>
            <w:tcW w:w="6853" w:type="dxa"/>
            <w:vAlign w:val="center"/>
          </w:tcPr>
          <w:p>
            <w:pPr>
              <w:jc w:val="center"/>
              <w:rPr>
                <w:rFonts w:ascii="仿宋" w:hAnsi="仿宋" w:eastAsia="仿宋"/>
                <w:szCs w:val="21"/>
              </w:rPr>
            </w:pPr>
            <w:r>
              <w:rPr>
                <w:rFonts w:hint="eastAsia" w:ascii="仿宋" w:hAnsi="仿宋" w:eastAsia="仿宋"/>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专业外语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restart"/>
            <w:vAlign w:val="center"/>
          </w:tcPr>
          <w:p>
            <w:pPr>
              <w:jc w:val="center"/>
              <w:rPr>
                <w:rFonts w:ascii="仿宋" w:hAnsi="仿宋" w:eastAsia="仿宋"/>
                <w:szCs w:val="21"/>
              </w:rPr>
            </w:pPr>
            <w:r>
              <w:rPr>
                <w:rFonts w:hint="eastAsia" w:ascii="仿宋" w:hAnsi="仿宋" w:eastAsia="仿宋"/>
                <w:b/>
                <w:szCs w:val="21"/>
              </w:rPr>
              <w:t>讲座课程</w:t>
            </w:r>
          </w:p>
        </w:tc>
        <w:tc>
          <w:tcPr>
            <w:tcW w:w="6853" w:type="dxa"/>
          </w:tcPr>
          <w:p>
            <w:pPr>
              <w:jc w:val="center"/>
              <w:rPr>
                <w:rFonts w:ascii="仿宋" w:hAnsi="仿宋" w:eastAsia="仿宋"/>
                <w:szCs w:val="21"/>
              </w:rPr>
            </w:pPr>
            <w:r>
              <w:rPr>
                <w:rFonts w:hint="eastAsia" w:ascii="仿宋" w:hAnsi="仿宋" w:eastAsia="仿宋"/>
                <w:szCs w:val="21"/>
              </w:rPr>
              <w:t>互联网+及传统行业的改造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vAlign w:val="center"/>
          </w:tcPr>
          <w:p>
            <w:pPr>
              <w:jc w:val="center"/>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 xml:space="preserve">Efficient Secure Similarity Computation on Encrypted </w:t>
            </w:r>
          </w:p>
          <w:p>
            <w:pPr>
              <w:jc w:val="center"/>
              <w:rPr>
                <w:rFonts w:ascii="仿宋" w:hAnsi="仿宋" w:eastAsia="仿宋"/>
                <w:szCs w:val="21"/>
              </w:rPr>
            </w:pPr>
            <w:r>
              <w:rPr>
                <w:rFonts w:hint="eastAsia" w:ascii="仿宋" w:hAnsi="仿宋" w:eastAsia="仿宋"/>
                <w:szCs w:val="21"/>
              </w:rPr>
              <w:t>Trajectory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大数据管理与挖掘技术实践导论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 xml:space="preserve">Weitzenbock formula and rigidity of canonical metrics </w:t>
            </w:r>
          </w:p>
          <w:p>
            <w:pPr>
              <w:jc w:val="center"/>
              <w:rPr>
                <w:rFonts w:ascii="仿宋" w:hAnsi="仿宋" w:eastAsia="仿宋"/>
                <w:szCs w:val="21"/>
              </w:rPr>
            </w:pPr>
            <w:r>
              <w:rPr>
                <w:rFonts w:hint="eastAsia" w:ascii="仿宋" w:hAnsi="仿宋" w:eastAsia="仿宋"/>
                <w:szCs w:val="21"/>
              </w:rPr>
              <w:t>on four-manifolds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社交网络与信任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Solving Data Quality Problem using Web Big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A human revolution: services in the time of AI</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三、拟授课老师及研究方向或领域</w:t>
      </w:r>
    </w:p>
    <w:tbl>
      <w:tblPr>
        <w:tblStyle w:val="6"/>
        <w:tblW w:w="8085" w:type="dxa"/>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746"/>
        <w:gridCol w:w="3544"/>
        <w:gridCol w:w="2795"/>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拟授课老师</w:t>
            </w:r>
          </w:p>
        </w:tc>
        <w:tc>
          <w:tcPr>
            <w:tcW w:w="3544"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职称（行政兼职）</w:t>
            </w:r>
          </w:p>
        </w:tc>
        <w:tc>
          <w:tcPr>
            <w:tcW w:w="2795"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研究方向或领域</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 xml:space="preserve">杜小勇 </w:t>
            </w:r>
            <w:r>
              <w:rPr>
                <w:rFonts w:ascii="宋体" w:hAnsi="宋体" w:eastAsia="宋体" w:cs="宋体"/>
                <w:color w:val="444444"/>
                <w:kern w:val="0"/>
                <w:sz w:val="18"/>
                <w:szCs w:val="18"/>
              </w:rPr>
              <w:drawing>
                <wp:inline distT="0" distB="0" distL="0" distR="0">
                  <wp:extent cx="106680" cy="114300"/>
                  <wp:effectExtent l="0" t="0" r="7620" b="0"/>
                  <wp:docPr id="2" name="图片 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中国人民大学信息学院院长、教授、博士生导师、教育部科技委委员、中国计算机学会常务理事、教育部数据工程与知识工程重点实验室主任</w:t>
            </w:r>
          </w:p>
        </w:tc>
        <w:tc>
          <w:tcPr>
            <w:tcW w:w="2795" w:type="dxa"/>
            <w:shd w:val="clear" w:color="auto" w:fill="auto"/>
            <w:tcMar>
              <w:top w:w="90" w:type="dxa"/>
              <w:left w:w="45" w:type="dxa"/>
              <w:bottom w:w="90" w:type="dxa"/>
              <w:right w:w="45" w:type="dxa"/>
            </w:tcMar>
            <w:vAlign w:val="center"/>
          </w:tcPr>
          <w:p>
            <w:pPr>
              <w:jc w:val="left"/>
            </w:pPr>
            <w:r>
              <w:rPr>
                <w:rFonts w:hint="eastAsia"/>
              </w:rPr>
              <w:t>数据管理技术、语义网技术、智能信息检索技术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Calton Pu</w:t>
            </w:r>
            <w:r>
              <w:rPr>
                <w:rFonts w:hint="eastAsia" w:ascii="宋体" w:hAnsi="宋体" w:eastAsia="宋体" w:cs="宋体"/>
                <w:szCs w:val="21"/>
              </w:rPr>
              <w:t> </w:t>
            </w:r>
          </w:p>
        </w:tc>
        <w:tc>
          <w:tcPr>
            <w:tcW w:w="3544" w:type="dxa"/>
            <w:shd w:val="clear" w:color="auto" w:fill="auto"/>
            <w:tcMar>
              <w:top w:w="90" w:type="dxa"/>
              <w:left w:w="45" w:type="dxa"/>
              <w:bottom w:w="90" w:type="dxa"/>
              <w:right w:w="45" w:type="dxa"/>
            </w:tcMar>
            <w:vAlign w:val="center"/>
          </w:tcPr>
          <w:p>
            <w:pPr>
              <w:jc w:val="left"/>
            </w:pPr>
            <w:r>
              <w:rPr>
                <w:rFonts w:hint="eastAsia"/>
              </w:rPr>
              <w:t>美国科学进步学会（AAAS）院士、IEEE资深会员、日本科学促进协会（JSPS）院士、中国人民大学客座教授</w:t>
            </w:r>
          </w:p>
        </w:tc>
        <w:tc>
          <w:tcPr>
            <w:tcW w:w="2795" w:type="dxa"/>
            <w:shd w:val="clear" w:color="auto" w:fill="auto"/>
            <w:tcMar>
              <w:top w:w="90" w:type="dxa"/>
              <w:left w:w="45" w:type="dxa"/>
              <w:bottom w:w="90" w:type="dxa"/>
              <w:right w:w="45" w:type="dxa"/>
            </w:tcMar>
            <w:vAlign w:val="center"/>
          </w:tcPr>
          <w:p>
            <w:pPr>
              <w:jc w:val="left"/>
            </w:pPr>
            <w:r>
              <w:rPr>
                <w:rFonts w:hint="eastAsia"/>
              </w:rPr>
              <w:t>分布式计算、数据管理和操作系统等领域的国际知名学者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李翠平</w:t>
            </w:r>
            <w:r>
              <w:rPr>
                <w:rFonts w:hint="eastAsia" w:ascii="宋体" w:hAnsi="宋体" w:eastAsia="宋体" w:cs="宋体"/>
                <w:color w:val="444444"/>
                <w:kern w:val="0"/>
                <w:sz w:val="18"/>
                <w:szCs w:val="18"/>
              </w:rPr>
              <w:t xml:space="preserve"> </w:t>
            </w:r>
            <w:r>
              <w:rPr>
                <w:rFonts w:ascii="宋体" w:hAnsi="宋体" w:eastAsia="宋体" w:cs="宋体"/>
                <w:color w:val="444444"/>
                <w:kern w:val="0"/>
                <w:sz w:val="18"/>
                <w:szCs w:val="18"/>
              </w:rPr>
              <w:drawing>
                <wp:inline distT="0" distB="0" distL="0" distR="0">
                  <wp:extent cx="106680" cy="114300"/>
                  <wp:effectExtent l="0" t="0" r="7620" b="0"/>
                  <wp:docPr id="13"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教授、博士生导师、国家自然科学基金通讯评议专家、中国计算机学会杰出会员、中国计算机学会大数据专家委委员</w:t>
            </w:r>
          </w:p>
        </w:tc>
        <w:tc>
          <w:tcPr>
            <w:tcW w:w="2795" w:type="dxa"/>
            <w:shd w:val="clear" w:color="auto" w:fill="auto"/>
            <w:tcMar>
              <w:top w:w="90" w:type="dxa"/>
              <w:left w:w="45" w:type="dxa"/>
              <w:bottom w:w="90" w:type="dxa"/>
              <w:right w:w="45" w:type="dxa"/>
            </w:tcMar>
            <w:vAlign w:val="center"/>
          </w:tcPr>
          <w:p>
            <w:pPr>
              <w:jc w:val="left"/>
            </w:pPr>
            <w:r>
              <w:rPr>
                <w:rFonts w:hint="eastAsia"/>
              </w:rPr>
              <w:t>长期从事数据库教学与科研工作，目前研究方向为社会网络分析、社会推荐、大数据分析和挖掘</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陈  红</w:t>
            </w:r>
            <w:r>
              <w:rPr>
                <w:rFonts w:hint="eastAsia" w:ascii="宋体" w:hAnsi="宋体" w:eastAsia="宋体" w:cs="宋体"/>
                <w:color w:val="444444"/>
                <w:kern w:val="0"/>
                <w:sz w:val="18"/>
                <w:szCs w:val="18"/>
              </w:rPr>
              <w:t> </w:t>
            </w:r>
            <w:r>
              <w:rPr>
                <w:rFonts w:ascii="宋体" w:hAnsi="宋体" w:eastAsia="宋体" w:cs="宋体"/>
                <w:color w:val="444444"/>
                <w:kern w:val="0"/>
                <w:sz w:val="18"/>
                <w:szCs w:val="18"/>
              </w:rPr>
              <w:drawing>
                <wp:inline distT="0" distB="0" distL="0" distR="0">
                  <wp:extent cx="106680" cy="114300"/>
                  <wp:effectExtent l="0" t="0" r="7620" b="0"/>
                  <wp:docPr id="12"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中国人民大学信息学院党委书记、教授、博士生导师、中国计算机学会数据库专委会委员、中国计算机学会传感器网络专委会委员、国际期刊IJBKO编委</w:t>
            </w:r>
          </w:p>
        </w:tc>
        <w:tc>
          <w:tcPr>
            <w:tcW w:w="2795" w:type="dxa"/>
            <w:shd w:val="clear" w:color="auto" w:fill="auto"/>
            <w:tcMar>
              <w:top w:w="90" w:type="dxa"/>
              <w:left w:w="45" w:type="dxa"/>
              <w:bottom w:w="90" w:type="dxa"/>
              <w:right w:w="45" w:type="dxa"/>
            </w:tcMar>
            <w:vAlign w:val="center"/>
          </w:tcPr>
          <w:p>
            <w:pPr>
              <w:jc w:val="left"/>
            </w:pPr>
            <w:r>
              <w:rPr>
                <w:rFonts w:hint="eastAsia"/>
              </w:rPr>
              <w:t>数据仓库与数据挖掘、基于新硬件的数据管理与数据分析、传感器网络数据管理与隐私保护</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仿宋" w:hAnsi="仿宋" w:eastAsia="仿宋"/>
                <w:szCs w:val="21"/>
              </w:rPr>
            </w:pPr>
            <w:r>
              <w:rPr>
                <w:rFonts w:hint="eastAsia" w:ascii="仿宋" w:hAnsi="仿宋" w:eastAsia="仿宋"/>
                <w:szCs w:val="21"/>
              </w:rPr>
              <w:t xml:space="preserve">何  军 </w:t>
            </w:r>
            <w:r>
              <w:rPr>
                <w:rFonts w:ascii="宋体" w:hAnsi="宋体" w:eastAsia="宋体" w:cs="宋体"/>
                <w:color w:val="444444"/>
                <w:kern w:val="0"/>
                <w:sz w:val="18"/>
                <w:szCs w:val="18"/>
              </w:rPr>
              <w:drawing>
                <wp:inline distT="0" distB="0" distL="0" distR="0">
                  <wp:extent cx="106680" cy="114300"/>
                  <wp:effectExtent l="0" t="0" r="7620" b="0"/>
                  <wp:docPr id="1" name="图片 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教授、博士生导师，主持参加了十多项科研项目，包括国家重点基础研究课题973项目、国家高技术发展研究计划863项目、国家核高基项目、国家自然科学基金重大项目、国家自然科学基金重点项目等</w:t>
            </w:r>
          </w:p>
        </w:tc>
        <w:tc>
          <w:tcPr>
            <w:tcW w:w="2795" w:type="dxa"/>
            <w:shd w:val="clear" w:color="auto" w:fill="auto"/>
            <w:tcMar>
              <w:top w:w="90" w:type="dxa"/>
              <w:left w:w="45" w:type="dxa"/>
              <w:bottom w:w="90" w:type="dxa"/>
              <w:right w:w="45" w:type="dxa"/>
            </w:tcMar>
            <w:vAlign w:val="center"/>
          </w:tcPr>
          <w:p>
            <w:pPr>
              <w:jc w:val="left"/>
            </w:pPr>
            <w:r>
              <w:rPr>
                <w:rFonts w:hint="eastAsia"/>
              </w:rPr>
              <w:t>数据挖掘、数据库、信息检索、商务智能、社交网络分析与挖掘、Web数据挖掘、Web数据抽取与集成、个性化推荐、意见挖掘、计算广告学等</w:t>
            </w:r>
          </w:p>
        </w:tc>
      </w:tr>
    </w:tbl>
    <w:p>
      <w:pPr>
        <w:rPr>
          <w:rFonts w:ascii="宋体" w:hAnsi="宋体" w:eastAsia="宋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640" w:firstLineChars="200"/>
        <w:rPr>
          <w:rFonts w:ascii="仿宋" w:hAnsi="仿宋" w:eastAsia="仿宋"/>
          <w:sz w:val="32"/>
          <w:szCs w:val="32"/>
        </w:rPr>
      </w:pPr>
      <w:r>
        <w:rPr>
          <w:rFonts w:hint="eastAsia" w:ascii="仿宋" w:hAnsi="仿宋" w:eastAsia="仿宋"/>
          <w:sz w:val="32"/>
          <w:szCs w:val="32"/>
        </w:rPr>
        <w:t>上课地点：中国人民大学校内。</w:t>
      </w:r>
    </w:p>
    <w:p>
      <w:pPr>
        <w:ind w:firstLine="640" w:firstLineChars="200"/>
      </w:pP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 4张两寸照片。</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w:t>
      </w:r>
      <w:r>
        <w:rPr>
          <w:rFonts w:hint="eastAsia" w:ascii="仿宋" w:hAnsi="仿宋" w:eastAsia="仿宋"/>
          <w:b/>
          <w:sz w:val="32"/>
          <w:szCs w:val="32"/>
        </w:rPr>
        <w:t>25000元</w:t>
      </w:r>
      <w:r>
        <w:rPr>
          <w:rFonts w:hint="eastAsia" w:ascii="仿宋" w:hAnsi="仿宋" w:eastAsia="仿宋"/>
          <w:sz w:val="32"/>
          <w:szCs w:val="32"/>
        </w:rPr>
        <w:t>(两年)，书费、资料费自理。学费一次性交清。</w:t>
      </w:r>
    </w:p>
    <w:p>
      <w:pPr>
        <w:rPr>
          <w:rFonts w:ascii="仿宋" w:hAnsi="仿宋" w:eastAsia="仿宋"/>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ascii="仿宋" w:hAnsi="仿宋" w:eastAsia="仿宋"/>
          <w:sz w:val="32"/>
          <w:szCs w:val="32"/>
        </w:rPr>
        <w:t>1、学员完成课程设置中所规定的课程并考试（考核）成绩合格者即可结业。</w:t>
      </w:r>
      <w:r>
        <w:rPr>
          <w:rFonts w:ascii="仿宋" w:hAnsi="仿宋" w:eastAsia="仿宋"/>
          <w:sz w:val="32"/>
          <w:szCs w:val="32"/>
        </w:rPr>
        <w:br w:type="textWrapping"/>
      </w:r>
      <w:r>
        <w:rPr>
          <w:rFonts w:ascii="仿宋" w:hAnsi="仿宋" w:eastAsia="仿宋"/>
          <w:sz w:val="32"/>
          <w:szCs w:val="32"/>
        </w:rPr>
        <w:t>2、结业学员获加盖学校钢印和红章的《</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ascii="仿宋" w:hAnsi="仿宋" w:eastAsia="仿宋"/>
          <w:sz w:val="32"/>
          <w:szCs w:val="32"/>
        </w:rPr>
        <w:t>3、符合申请硕士学位条件的学员（取得国家承认学士学位）可按我校有关规定申请</w:t>
      </w:r>
      <w:r>
        <w:rPr>
          <w:rFonts w:hint="eastAsia" w:ascii="仿宋" w:hAnsi="仿宋" w:eastAsia="仿宋"/>
          <w:sz w:val="32"/>
          <w:szCs w:val="32"/>
        </w:rPr>
        <w:t>中国人民大学</w:t>
      </w:r>
      <w:r>
        <w:rPr>
          <w:rFonts w:hint="eastAsia" w:ascii="仿宋" w:hAnsi="仿宋" w:eastAsia="仿宋"/>
          <w:b/>
          <w:color w:val="FF0000"/>
          <w:sz w:val="32"/>
          <w:szCs w:val="32"/>
        </w:rPr>
        <w:t>工学</w:t>
      </w:r>
      <w:r>
        <w:rPr>
          <w:rFonts w:ascii="仿宋" w:hAnsi="仿宋" w:eastAsia="仿宋"/>
          <w:b/>
          <w:color w:val="FF0000"/>
          <w:sz w:val="32"/>
          <w:szCs w:val="32"/>
        </w:rPr>
        <w:t>硕士</w:t>
      </w:r>
      <w:r>
        <w:rPr>
          <w:rFonts w:ascii="仿宋" w:hAnsi="仿宋" w:eastAsia="仿宋"/>
          <w:sz w:val="32"/>
          <w:szCs w:val="32"/>
        </w:rPr>
        <w:t>学位。</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rPr>
          <w:rFonts w:ascii="仿宋" w:hAnsi="仿宋" w:eastAsia="仿宋"/>
          <w:sz w:val="32"/>
          <w:szCs w:val="32"/>
        </w:rPr>
      </w:pPr>
      <w:r>
        <w:rPr>
          <w:rFonts w:hint="eastAsia" w:ascii="黑体" w:hAnsi="黑体" w:eastAsia="黑体" w:cs="宋体"/>
          <w:b/>
          <w:bCs/>
          <w:color w:val="444444"/>
          <w:kern w:val="0"/>
          <w:sz w:val="30"/>
          <w:szCs w:val="30"/>
        </w:rPr>
        <w:t>十一、</w:t>
      </w:r>
      <w:r>
        <w:rPr>
          <w:rFonts w:ascii="黑体" w:hAnsi="黑体" w:eastAsia="黑体" w:cs="宋体"/>
          <w:color w:val="444444"/>
          <w:kern w:val="0"/>
          <w:sz w:val="30"/>
          <w:szCs w:val="30"/>
        </w:rPr>
        <w:t>申请硕士学位及方法</w:t>
      </w:r>
      <w:r>
        <w:rPr>
          <w:rFonts w:ascii="Tahoma" w:hAnsi="Tahoma" w:cs="Tahoma"/>
          <w:b/>
          <w:bCs/>
          <w:color w:val="000000"/>
          <w:szCs w:val="21"/>
          <w:shd w:val="clear" w:color="auto" w:fill="FFFFFF"/>
        </w:rPr>
        <w:br w:type="textWrapping"/>
      </w:r>
      <w:r>
        <w:rPr>
          <w:rFonts w:ascii="仿宋" w:hAnsi="仿宋" w:eastAsia="仿宋"/>
          <w:sz w:val="32"/>
          <w:szCs w:val="32"/>
        </w:rPr>
        <w:t>1、申请学位按照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4、我院将为学员安排教师进行学位论文的指导。</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ascii="仿宋" w:hAnsi="仿宋" w:eastAsia="仿宋"/>
          <w:sz w:val="32"/>
          <w:szCs w:val="32"/>
        </w:rPr>
      </w:pPr>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64"/>
    <w:rsid w:val="000D5CEC"/>
    <w:rsid w:val="001112A3"/>
    <w:rsid w:val="002275B0"/>
    <w:rsid w:val="00465E6D"/>
    <w:rsid w:val="005030A5"/>
    <w:rsid w:val="0066673C"/>
    <w:rsid w:val="00845A44"/>
    <w:rsid w:val="008B67D9"/>
    <w:rsid w:val="008D6AEB"/>
    <w:rsid w:val="00952F6E"/>
    <w:rsid w:val="00A055F7"/>
    <w:rsid w:val="00A25BB2"/>
    <w:rsid w:val="00BA56BE"/>
    <w:rsid w:val="00DC3A7E"/>
    <w:rsid w:val="00E72B64"/>
    <w:rsid w:val="00EC4BD1"/>
    <w:rsid w:val="00F75B30"/>
    <w:rsid w:val="00FA7E0C"/>
    <w:rsid w:val="10D03324"/>
    <w:rsid w:val="12A71E1B"/>
    <w:rsid w:val="5C183F2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394</Words>
  <Characters>2252</Characters>
  <Lines>18</Lines>
  <Paragraphs>5</Paragraphs>
  <ScaleCrop>false</ScaleCrop>
  <LinksUpToDate>false</LinksUpToDate>
  <CharactersWithSpaces>2641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2016-01-14T06:07:00Z</dcterms:created>
  <dc:creator>admin</dc:creator>
  <cp:lastModifiedBy>Administrator</cp:lastModifiedBy>
  <dcterms:modified xsi:type="dcterms:W3CDTF">2017-03-07T00:36:03Z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