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60" w:rsidRDefault="00EC2960" w:rsidP="0004675E">
      <w:pPr>
        <w:pStyle w:val="Bodytext20"/>
        <w:keepNext/>
        <w:spacing w:after="300" w:line="360" w:lineRule="auto"/>
        <w:jc w:val="center"/>
        <w:rPr>
          <w:rFonts w:ascii="宋体" w:eastAsia="宋体" w:hAnsi="宋体" w:cs="宋体" w:hint="eastAsia"/>
          <w:b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国际青年领导力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项目</w:t>
      </w:r>
    </w:p>
    <w:p w:rsidR="0004675E" w:rsidRPr="00AA304C" w:rsidRDefault="00CD5B86" w:rsidP="0004675E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C73FE7" w:rsidRPr="00C73FE7">
        <w:rPr>
          <w:b/>
          <w:sz w:val="32"/>
          <w:szCs w:val="32"/>
        </w:rPr>
        <w:t>电子影像</w:t>
      </w:r>
      <w:r w:rsidR="00C73FE7" w:rsidRPr="00C73FE7">
        <w:rPr>
          <w:rFonts w:eastAsiaTheme="minorEastAsia" w:hint="eastAsia"/>
          <w:b/>
          <w:sz w:val="32"/>
          <w:szCs w:val="32"/>
          <w:lang w:eastAsia="zh-CN"/>
        </w:rPr>
        <w:t>硕士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D50BC2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D50BC2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8C" w:rsidRDefault="00990A8C" w:rsidP="00F619F8">
      <w:r>
        <w:separator/>
      </w:r>
    </w:p>
  </w:endnote>
  <w:endnote w:type="continuationSeparator" w:id="0">
    <w:p w:rsidR="00990A8C" w:rsidRDefault="00990A8C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8C" w:rsidRDefault="00990A8C" w:rsidP="00F619F8">
      <w:r>
        <w:separator/>
      </w:r>
    </w:p>
  </w:footnote>
  <w:footnote w:type="continuationSeparator" w:id="0">
    <w:p w:rsidR="00990A8C" w:rsidRDefault="00990A8C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5220EB"/>
    <w:rsid w:val="007D5516"/>
    <w:rsid w:val="008066FF"/>
    <w:rsid w:val="00977DFD"/>
    <w:rsid w:val="00990A8C"/>
    <w:rsid w:val="00AA253E"/>
    <w:rsid w:val="00AA304C"/>
    <w:rsid w:val="00C73FE7"/>
    <w:rsid w:val="00CA3660"/>
    <w:rsid w:val="00CD5B86"/>
    <w:rsid w:val="00D50BC2"/>
    <w:rsid w:val="00E411F6"/>
    <w:rsid w:val="00EC2960"/>
    <w:rsid w:val="00ED0F6E"/>
    <w:rsid w:val="00F50A50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2020-05-11T08:49:00Z</dcterms:created>
  <dcterms:modified xsi:type="dcterms:W3CDTF">2020-05-11T08:56:00Z</dcterms:modified>
</cp:coreProperties>
</file>