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青岛游戏动作特效制作技巧提升课程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上课地点：青岛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drawing>
          <wp:inline distT="0" distB="0" distL="114300" distR="114300">
            <wp:extent cx="4762500" cy="4762500"/>
            <wp:effectExtent l="0" t="0" r="0" b="0"/>
            <wp:docPr id="1" name="图片 1" descr="游戏动作特效制作培训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游戏动作特效制作培训班"/>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目前，对游戏产业发展的支持已经纳入863计划，新闻出版署更是下达文件：在五年内，生产超过100款民族网络游戏。然而与国内游戏产业迅猛发展不协调的是：目前国内专业游戏开发设计人才严重短缺，很多游戏企业在招聘人才时，年薪开到10万元以上也很难找到人才。目前来说，游戏专业人才还处于一个供远小于求的局面，需求量极大，完全不用担心就业方面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【招生对象】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1、高中毕业生,想在大学前收取爱好者提升;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2、大学生或应届毕业生;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3、超过14岁的人对这门课程感兴趣，或想参加相关课程。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4、不需要基础，包教会;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【教学目的】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大力培养CG艺术设计人才,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线下线上融合帮助学生快速学习成长，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技能培训以就业为导向,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游戏特效指特殊的效果。通常是由电脑软件制作出的现实中一般不会出现的特殊效果。最直白的理解就是游戏中的特殊效果，给我们带来的最直接的感受就是游戏中的光影效果等。它在游戏中具体所体现的细分比较多，比如说人物技能特效、场景中的瀑布、落叶、UI特效等，具体到实际的项目中，这些细分还可能略有不同，以实际项目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1.U3D基础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2.五行色—技能进阶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3.毕业设计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4.人形生物动画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5.其他生物动画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6.DEMO实训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【学习保障】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入学签订就业协议，学不会免费重学。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【授课方式】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小班实战授课、vip一对一教学、线上下线全场景教学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9122CE"/>
    <w:rsid w:val="1EB50144"/>
    <w:rsid w:val="5B9122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897</Words>
  <Characters>931</Characters>
  <Lines>0</Lines>
  <Paragraphs>0</Paragraphs>
  <TotalTime>2</TotalTime>
  <ScaleCrop>false</ScaleCrop>
  <LinksUpToDate>false</LinksUpToDate>
  <CharactersWithSpaces>938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2022-03-01T03:17:00Z</dcterms:created>
  <dc:creator>冰冰⊙▽⊙＊</dc:creator>
  <cp:lastModifiedBy>冰冰⊙▽⊙＊</cp:lastModifiedBy>
  <dcterms:modified xsi:type="dcterms:W3CDTF">2022-04-06T13:13:50Z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9CF955E8B34149FEA8EAAEE10A7834C6</vt:lpwstr>
  </property>
</Properties>
</file>