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bookmarkStart w:id="0" w:name="_GoBack"/>
      <w:bookmarkEnd w:id="0"/>
    </w:p>
    <w:p>
      <w:pPr>
        <w:rPr>
          <w:rFonts w:hint="eastAsia" w:eastAsiaTheme="minorEastAsia"/>
          <w:lang w:eastAsia="zh-CN"/>
        </w:rPr>
      </w:pPr>
      <w:r>
        <w:rPr>
          <w:rFonts w:hint="eastAsia" w:eastAsiaTheme="minorEastAsia"/>
          <w:lang w:eastAsia="zh-CN"/>
        </w:rPr>
        <w:drawing>
          <wp:inline distT="0" distB="0" distL="114300" distR="114300">
            <wp:extent cx="5083810" cy="1344930"/>
            <wp:effectExtent l="0" t="0" r="2540" b="7620"/>
            <wp:docPr id="3" name="图片 3" descr="四川大学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四川大学标识"/>
                    <pic:cNvPicPr>
                      <a:picLocks noChangeAspect="1"/>
                    </pic:cNvPicPr>
                  </pic:nvPicPr>
                  <pic:blipFill>
                    <a:blip r:embed="rId5"/>
                    <a:stretch>
                      <a:fillRect/>
                    </a:stretch>
                  </pic:blipFill>
                  <pic:spPr>
                    <a:xfrm>
                      <a:off x="0" y="0"/>
                      <a:ext cx="5083810" cy="1344930"/>
                    </a:xfrm>
                    <a:prstGeom prst="rect">
                      <a:avLst/>
                    </a:prstGeom>
                  </pic:spPr>
                </pic:pic>
              </a:graphicData>
            </a:graphic>
          </wp:inline>
        </w:drawing>
      </w:r>
    </w:p>
    <w:p>
      <w:pPr>
        <w:spacing w:line="360" w:lineRule="auto"/>
        <w:contextualSpacing/>
        <w:jc w:val="center"/>
        <w:rPr>
          <w:rFonts w:hint="eastAsia" w:ascii="宋体" w:hAnsi="宋体"/>
          <w:b/>
          <w:color w:val="000000"/>
          <w:sz w:val="32"/>
          <w:szCs w:val="32"/>
          <w:lang w:val="en-US" w:eastAsia="zh-CN"/>
        </w:rPr>
      </w:pPr>
      <w:r>
        <w:rPr>
          <w:rFonts w:hint="eastAsia" w:ascii="宋体" w:hAnsi="宋体"/>
          <w:b/>
          <w:color w:val="000000"/>
          <w:sz w:val="32"/>
          <w:szCs w:val="32"/>
          <w:lang w:val="en-US" w:eastAsia="zh-CN"/>
        </w:rPr>
        <w:t>四川师范大学</w:t>
      </w:r>
      <w:r>
        <w:rPr>
          <w:rFonts w:hint="eastAsia" w:ascii="宋体" w:hAnsi="宋体"/>
          <w:b/>
          <w:color w:val="000000"/>
          <w:sz w:val="32"/>
          <w:szCs w:val="32"/>
        </w:rPr>
        <w:t>同等学力人员</w:t>
      </w:r>
      <w:r>
        <w:rPr>
          <w:rFonts w:hint="eastAsia" w:ascii="宋体" w:hAnsi="宋体"/>
          <w:b/>
          <w:color w:val="000000"/>
          <w:sz w:val="32"/>
          <w:szCs w:val="32"/>
          <w:lang w:val="en-US" w:eastAsia="zh-CN"/>
        </w:rPr>
        <w:t>职业技术教育专业</w:t>
      </w:r>
    </w:p>
    <w:p>
      <w:pPr>
        <w:spacing w:line="360" w:lineRule="auto"/>
        <w:contextualSpacing/>
        <w:jc w:val="center"/>
        <w:rPr>
          <w:rFonts w:hint="eastAsia" w:eastAsiaTheme="minorEastAsia"/>
          <w:lang w:eastAsia="zh-CN"/>
        </w:rPr>
      </w:pPr>
      <w:r>
        <w:rPr>
          <w:rFonts w:hint="eastAsia" w:ascii="宋体" w:hAnsi="宋体"/>
          <w:b/>
          <w:color w:val="000000"/>
          <w:sz w:val="32"/>
          <w:szCs w:val="32"/>
        </w:rPr>
        <w:t>申请硕士学位招生简章</w:t>
      </w:r>
    </w:p>
    <w:p>
      <w:pPr>
        <w:jc w:val="center"/>
        <w:rPr>
          <w:rFonts w:hint="eastAsia" w:eastAsiaTheme="minorEastAsia"/>
          <w:lang w:eastAsia="zh-CN"/>
        </w:rPr>
      </w:pPr>
    </w:p>
    <w:p>
      <w:pPr>
        <w:rPr>
          <w:rFonts w:hint="eastAsia" w:eastAsiaTheme="minorEastAsia"/>
          <w:lang w:eastAsia="zh-CN"/>
        </w:rPr>
      </w:pPr>
    </w:p>
    <w:p>
      <w:pPr>
        <w:numPr>
          <w:ilvl w:val="0"/>
          <w:numId w:val="1"/>
        </w:numPr>
        <w:rPr>
          <w:rFonts w:hint="default"/>
          <w:sz w:val="21"/>
          <w:szCs w:val="21"/>
        </w:rPr>
      </w:pPr>
      <w:r>
        <w:rPr>
          <w:rFonts w:hint="eastAsia"/>
          <w:b/>
          <w:bCs/>
          <w:lang w:val="en-US" w:eastAsia="zh-CN"/>
        </w:rPr>
        <w:t>院校简介：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sz w:val="21"/>
          <w:szCs w:val="21"/>
        </w:rPr>
      </w:pPr>
      <w:r>
        <w:rPr>
          <w:rFonts w:hint="default"/>
          <w:sz w:val="21"/>
          <w:szCs w:val="21"/>
        </w:rPr>
        <w:t>四川师范大学是四川省属重点大学、国家首批“中西部高校基础能力建设工程”实施高校及全国深化创新创业教育改革示范校，是四川省举办本科师范教育最早、师范类院校中办学历史最为悠久的大学。学校创建于1946年，其诞生与东北大学有直接的历史渊源。1985年，经国家教育委员会批准，四川师范学院更名为四川师范大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sz w:val="21"/>
          <w:szCs w:val="21"/>
          <w:lang w:eastAsia="zh-CN"/>
        </w:rPr>
      </w:pPr>
      <w:r>
        <w:rPr>
          <w:rFonts w:hint="default"/>
          <w:sz w:val="21"/>
          <w:szCs w:val="21"/>
        </w:rPr>
        <w:t>学校是全国首批硕士授权单位，第十批博士授权单位，举办有文学、理学、工学、哲学、经济学、管理学、法学、历史学、教育学、艺术学、农学等十一个学科门类。建设有2个博士后流动站、7个博士学位授权一级学科（中国语言文学、教育学、数学、心理学、中国史、物理学、化学）、26个硕士学位授权一级学科、14个硕士专业学位授权类别、79个本科专业，其中省级重点学科建设项目4个、一级学科省级重点学科2个、二级学科省级重点学科17个</w:t>
      </w:r>
      <w:r>
        <w:rPr>
          <w:rFonts w:hint="eastAsia"/>
          <w:sz w:val="21"/>
          <w:szCs w:val="21"/>
          <w:lang w:eastAsia="zh-CN"/>
        </w:rPr>
        <w:t>。</w:t>
      </w:r>
      <w:r>
        <w:rPr>
          <w:rFonts w:hint="default"/>
          <w:sz w:val="21"/>
          <w:szCs w:val="21"/>
        </w:rPr>
        <w:t>建校以来，学校先后涌现出了以著名墨学家伍非百、我国社会学和民俗学的创始人之一李安宅、我国教育心理学的创始人之一刘绍禹、楚辞学专家汤炳正、文献学专家屈守元、训诂学专家刘君惠、凝聚态物理学专家赵敏光、拓扑学专家刘旺金、非线性分析专家丁协平为代表的一批知名专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right="0" w:firstLine="420" w:firstLineChars="200"/>
        <w:jc w:val="both"/>
        <w:textAlignment w:val="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为</w:t>
      </w:r>
      <w:r>
        <w:rPr>
          <w:rFonts w:hint="eastAsia" w:cs="宋体"/>
          <w:kern w:val="2"/>
          <w:sz w:val="21"/>
          <w:szCs w:val="21"/>
          <w:lang w:val="en-US" w:eastAsia="zh-CN" w:bidi="ar-SA"/>
        </w:rPr>
        <w:t>了满足众多社会在职人员提升学位的需求，</w:t>
      </w:r>
      <w:r>
        <w:rPr>
          <w:rFonts w:hint="eastAsia" w:ascii="宋体" w:hAnsi="宋体" w:eastAsia="宋体" w:cs="宋体"/>
          <w:kern w:val="2"/>
          <w:sz w:val="21"/>
          <w:szCs w:val="21"/>
          <w:lang w:val="en-US" w:eastAsia="zh-CN" w:bidi="ar-SA"/>
        </w:rPr>
        <w:t>培养</w:t>
      </w:r>
      <w:r>
        <w:rPr>
          <w:rFonts w:hint="eastAsia" w:cs="宋体"/>
          <w:kern w:val="2"/>
          <w:sz w:val="21"/>
          <w:szCs w:val="21"/>
          <w:lang w:val="en-US" w:eastAsia="zh-CN" w:bidi="ar-SA"/>
        </w:rPr>
        <w:t>具有社会责任感和全面教育专业知识的复合型高水平的专业管理人才，</w:t>
      </w:r>
      <w:r>
        <w:rPr>
          <w:rFonts w:hint="eastAsia" w:ascii="宋体" w:hAnsi="宋体" w:eastAsia="宋体" w:cs="宋体"/>
          <w:kern w:val="2"/>
          <w:sz w:val="21"/>
          <w:szCs w:val="21"/>
          <w:lang w:val="en-US" w:eastAsia="zh-CN" w:bidi="ar-SA"/>
        </w:rPr>
        <w:t>2022年</w:t>
      </w:r>
      <w:r>
        <w:rPr>
          <w:rFonts w:hint="eastAsia" w:cs="宋体"/>
          <w:kern w:val="2"/>
          <w:sz w:val="21"/>
          <w:szCs w:val="21"/>
          <w:lang w:val="en-US" w:eastAsia="zh-CN" w:bidi="ar-SA"/>
        </w:rPr>
        <w:t>四川师范大学特开展职业技术教育专业同等学力申请硕士学位课程培训班，精选实用专业培训课程。</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numPr>
          <w:ilvl w:val="0"/>
          <w:numId w:val="1"/>
        </w:numPr>
        <w:rPr>
          <w:rFonts w:hint="default"/>
          <w:b/>
          <w:bCs/>
          <w:lang w:val="en-US" w:eastAsia="zh-CN"/>
        </w:rPr>
      </w:pPr>
      <w:r>
        <w:rPr>
          <w:rFonts w:hint="eastAsia"/>
          <w:b/>
          <w:bCs/>
          <w:lang w:val="en-US" w:eastAsia="zh-CN"/>
        </w:rPr>
        <w:t>培养目标：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right="0" w:firstLine="420" w:firstLineChars="200"/>
        <w:jc w:val="both"/>
        <w:textAlignment w:val="auto"/>
        <w:rPr>
          <w:rFonts w:hint="default"/>
          <w:b/>
          <w:bCs/>
          <w:lang w:val="en-US" w:eastAsia="zh-CN"/>
        </w:rPr>
      </w:pPr>
      <w:r>
        <w:rPr>
          <w:rFonts w:hint="eastAsia" w:cs="宋体"/>
          <w:kern w:val="2"/>
          <w:sz w:val="21"/>
          <w:szCs w:val="21"/>
          <w:lang w:val="en-US" w:eastAsia="zh-CN" w:bidi="ar-SA"/>
        </w:rPr>
        <w:t>本专业主要通过学习和掌握职业技术教育课程改革新理念，掌握实践导向职业技术教育课程开发的基本流程和方法，培养热爱教育事业，具有良好的道德品质和健康的身体，遵纪守法积极进取勇于创新，具有根据行业所需的综合职业能力，设计教案活动、开发教案资源，应用信息化教案环境，培养具有扎实的数字媒体技术专业的应用型研究专业人才。</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专业优势：</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【免试入学】学员满足报读条件可免试入学；</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【重点学科】教育学专业是四川师范大学的重点学科；</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【申硕机会多】学员有4次申硕考试机会，仅考2科，大大提升申硕通过率；</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【灵活授课】设面授班、网络班，学员可根据自身实际情况选择学习班型；</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【拓展人脉】不定期举办线上主题讲座、开展小组论坛话题讨论，为学员提供更多的交流机会与人际拓展平台。</w:t>
      </w: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课程设置：</w:t>
      </w:r>
    </w:p>
    <w:p>
      <w:pPr>
        <w:widowControl w:val="0"/>
        <w:numPr>
          <w:ilvl w:val="0"/>
          <w:numId w:val="0"/>
        </w:numPr>
        <w:jc w:val="both"/>
        <w:rPr>
          <w:rFonts w:hint="eastAsia"/>
          <w:b/>
          <w:bCs/>
          <w:lang w:val="en-US" w:eastAsia="zh-CN"/>
        </w:rPr>
      </w:pPr>
    </w:p>
    <w:tbl>
      <w:tblPr>
        <w:tblStyle w:val="6"/>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3375"/>
        <w:gridCol w:w="3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1" w:type="dxa"/>
            <w:gridSpan w:val="3"/>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bCs/>
                <w:color w:val="000000"/>
                <w:sz w:val="21"/>
                <w:szCs w:val="21"/>
                <w:lang w:val="en-US" w:eastAsia="zh-CN" w:bidi="ar"/>
              </w:rPr>
              <w:t>职业技术教育专业课程设置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restart"/>
            <w:noWrap w:val="0"/>
            <w:vAlign w:val="top"/>
          </w:tcPr>
          <w:p>
            <w:pPr>
              <w:pStyle w:val="2"/>
              <w:widowControl/>
              <w:spacing w:before="225" w:beforeAutospacing="0" w:after="75" w:afterAutospacing="0"/>
              <w:jc w:val="center"/>
              <w:rPr>
                <w:rFonts w:hint="eastAsia"/>
                <w:lang w:val="en-US" w:eastAsia="zh-CN"/>
              </w:rPr>
            </w:pPr>
          </w:p>
          <w:p>
            <w:pPr>
              <w:rPr>
                <w:rFonts w:hint="eastAsia" w:eastAsia="宋体" w:cs="微软雅黑"/>
                <w:b w:val="0"/>
                <w:color w:val="000000"/>
                <w:sz w:val="21"/>
                <w:szCs w:val="21"/>
                <w:lang w:val="en-US" w:eastAsia="zh-CN" w:bidi="ar"/>
              </w:rPr>
            </w:pPr>
          </w:p>
          <w:p>
            <w:pPr>
              <w:rPr>
                <w:rFonts w:hint="eastAsia" w:eastAsia="宋体" w:cs="微软雅黑"/>
                <w:b w:val="0"/>
                <w:color w:val="000000"/>
                <w:sz w:val="21"/>
                <w:szCs w:val="21"/>
                <w:lang w:val="en-US" w:eastAsia="zh-CN" w:bidi="ar"/>
              </w:rPr>
            </w:pPr>
          </w:p>
          <w:p>
            <w:pP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 xml:space="preserve">   </w:t>
            </w:r>
            <w:r>
              <w:rPr>
                <w:rFonts w:hint="eastAsia" w:eastAsia="宋体" w:cs="微软雅黑"/>
                <w:b/>
                <w:bCs/>
                <w:color w:val="000000"/>
                <w:sz w:val="21"/>
                <w:szCs w:val="21"/>
                <w:lang w:val="en-US" w:eastAsia="zh-CN" w:bidi="ar"/>
              </w:rPr>
              <w:t>必修课</w:t>
            </w: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马克思主义理论</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外语</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心理学基础</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教育组织行为学</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计算机操作与应用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restart"/>
            <w:noWrap w:val="0"/>
            <w:vAlign w:val="top"/>
          </w:tcPr>
          <w:p>
            <w:pPr>
              <w:pStyle w:val="2"/>
              <w:widowControl/>
              <w:spacing w:before="225" w:beforeAutospacing="0" w:after="75" w:afterAutospacing="0"/>
              <w:jc w:val="center"/>
              <w:rPr>
                <w:rFonts w:hint="default"/>
                <w:b w:val="0"/>
                <w:bCs/>
                <w:lang w:val="en-US" w:eastAsia="zh-CN"/>
              </w:rPr>
            </w:pPr>
          </w:p>
          <w:p>
            <w:pPr>
              <w:rPr>
                <w:rFonts w:hint="default" w:eastAsia="宋体" w:cs="微软雅黑"/>
                <w:b w:val="0"/>
                <w:bCs/>
                <w:color w:val="000000"/>
                <w:sz w:val="21"/>
                <w:szCs w:val="21"/>
                <w:lang w:val="en-US" w:eastAsia="zh-CN" w:bidi="ar"/>
              </w:rPr>
            </w:pPr>
          </w:p>
          <w:p>
            <w:pPr>
              <w:rPr>
                <w:rFonts w:hint="default" w:eastAsia="宋体" w:cs="微软雅黑"/>
                <w:b w:val="0"/>
                <w:bCs/>
                <w:color w:val="000000"/>
                <w:sz w:val="21"/>
                <w:szCs w:val="21"/>
                <w:lang w:val="en-US" w:eastAsia="zh-CN" w:bidi="ar"/>
              </w:rPr>
            </w:pPr>
            <w:r>
              <w:rPr>
                <w:rFonts w:hint="eastAsia" w:eastAsia="宋体" w:cs="微软雅黑"/>
                <w:b w:val="0"/>
                <w:bCs/>
                <w:color w:val="000000"/>
                <w:sz w:val="21"/>
                <w:szCs w:val="21"/>
                <w:lang w:val="en-US" w:eastAsia="zh-CN" w:bidi="ar"/>
              </w:rPr>
              <w:t xml:space="preserve">   </w:t>
            </w:r>
            <w:r>
              <w:rPr>
                <w:rFonts w:hint="eastAsia" w:eastAsia="宋体" w:cs="微软雅黑"/>
                <w:b/>
                <w:bCs w:val="0"/>
                <w:color w:val="000000"/>
                <w:sz w:val="21"/>
                <w:szCs w:val="21"/>
                <w:lang w:val="en-US" w:eastAsia="zh-CN" w:bidi="ar"/>
              </w:rPr>
              <w:t>选修课</w:t>
            </w: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bCs/>
                <w:color w:val="000000"/>
                <w:kern w:val="0"/>
                <w:sz w:val="21"/>
                <w:szCs w:val="21"/>
                <w:lang w:val="en-US" w:eastAsia="zh-CN" w:bidi="ar"/>
              </w:rPr>
            </w:pPr>
            <w:r>
              <w:rPr>
                <w:rFonts w:hint="eastAsia" w:eastAsia="宋体" w:cs="微软雅黑"/>
                <w:b w:val="0"/>
                <w:bCs/>
                <w:color w:val="000000"/>
                <w:kern w:val="0"/>
                <w:sz w:val="21"/>
                <w:szCs w:val="21"/>
                <w:lang w:val="en-US" w:eastAsia="zh-CN" w:bidi="ar"/>
              </w:rPr>
              <w:t>数字媒体技术专业课程与教材研究</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职业技术教育测量与评价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bCs/>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bCs/>
                <w:color w:val="000000"/>
                <w:kern w:val="0"/>
                <w:sz w:val="21"/>
                <w:szCs w:val="21"/>
                <w:lang w:val="en-US" w:eastAsia="zh-CN" w:bidi="ar"/>
              </w:rPr>
            </w:pPr>
            <w:r>
              <w:rPr>
                <w:rFonts w:hint="eastAsia" w:eastAsia="宋体" w:cs="微软雅黑"/>
                <w:b w:val="0"/>
                <w:bCs/>
                <w:color w:val="000000"/>
                <w:kern w:val="0"/>
                <w:sz w:val="21"/>
                <w:szCs w:val="21"/>
                <w:lang w:val="en-US" w:eastAsia="zh-CN" w:bidi="ar"/>
              </w:rPr>
              <w:t>数字媒体技术专业教案设计与实施</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数字媒体技术专业素养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网络课程的设计与开发</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虚拟现实技术应用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课件设计与开发</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职业教育政策解读</w:t>
            </w:r>
          </w:p>
        </w:tc>
      </w:tr>
    </w:tbl>
    <w:p>
      <w:pPr>
        <w:pStyle w:val="5"/>
        <w:spacing w:line="500" w:lineRule="exact"/>
        <w:contextualSpacing/>
        <w:jc w:val="center"/>
        <w:rPr>
          <w:rFonts w:hint="default"/>
          <w:sz w:val="21"/>
          <w:szCs w:val="21"/>
          <w:lang w:val="en-US" w:eastAsia="zh-CN"/>
        </w:rPr>
      </w:pPr>
      <w:r>
        <w:rPr>
          <w:rFonts w:hint="eastAsia"/>
          <w:sz w:val="21"/>
          <w:szCs w:val="21"/>
        </w:rPr>
        <w:t>注：</w:t>
      </w:r>
      <w:r>
        <w:rPr>
          <w:rFonts w:hint="eastAsia"/>
          <w:sz w:val="21"/>
          <w:szCs w:val="21"/>
          <w:lang w:val="en-US" w:eastAsia="zh-CN"/>
        </w:rPr>
        <w:t>具体课程</w:t>
      </w:r>
      <w:r>
        <w:rPr>
          <w:rFonts w:hint="eastAsia"/>
          <w:sz w:val="21"/>
          <w:szCs w:val="21"/>
        </w:rPr>
        <w:t>参照实际教学</w:t>
      </w: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报考条件：</w:t>
      </w:r>
    </w:p>
    <w:p>
      <w:pPr>
        <w:pStyle w:val="5"/>
        <w:snapToGrid w:val="0"/>
        <w:spacing w:line="360" w:lineRule="auto"/>
        <w:ind w:firstLine="210" w:firstLineChars="100"/>
        <w:contextualSpacing/>
        <w:rPr>
          <w:sz w:val="21"/>
          <w:szCs w:val="21"/>
        </w:rPr>
      </w:pPr>
      <w:r>
        <w:rPr>
          <w:sz w:val="21"/>
          <w:szCs w:val="21"/>
        </w:rPr>
        <w:t>1</w:t>
      </w:r>
      <w:r>
        <w:rPr>
          <w:rFonts w:hint="eastAsia"/>
          <w:sz w:val="21"/>
          <w:szCs w:val="21"/>
          <w:lang w:eastAsia="zh-CN"/>
        </w:rPr>
        <w:t>、</w:t>
      </w:r>
      <w:r>
        <w:rPr>
          <w:rFonts w:hint="eastAsia"/>
          <w:sz w:val="21"/>
          <w:szCs w:val="21"/>
          <w:lang w:val="en-US" w:eastAsia="zh-CN"/>
        </w:rPr>
        <w:t>拥护中华人民共和国宪法，遵守法律、法规，具有良好的政治思想品德和道德修养，身体健康</w:t>
      </w:r>
      <w:r>
        <w:rPr>
          <w:rFonts w:hint="eastAsia"/>
          <w:sz w:val="21"/>
          <w:szCs w:val="21"/>
        </w:rPr>
        <w:t>；</w:t>
      </w:r>
    </w:p>
    <w:p>
      <w:pPr>
        <w:pStyle w:val="5"/>
        <w:snapToGrid w:val="0"/>
        <w:spacing w:line="360" w:lineRule="auto"/>
        <w:contextualSpacing/>
        <w:rPr>
          <w:rFonts w:hint="eastAsia"/>
          <w:sz w:val="21"/>
          <w:szCs w:val="21"/>
          <w:lang w:val="en-US" w:eastAsia="zh-CN"/>
        </w:rPr>
      </w:pPr>
      <w:r>
        <w:rPr>
          <w:sz w:val="21"/>
          <w:szCs w:val="21"/>
        </w:rPr>
        <w:t>　2</w:t>
      </w:r>
      <w:r>
        <w:rPr>
          <w:rFonts w:hint="eastAsia"/>
          <w:sz w:val="21"/>
          <w:szCs w:val="21"/>
          <w:lang w:eastAsia="zh-CN"/>
        </w:rPr>
        <w:t>、</w:t>
      </w:r>
      <w:r>
        <w:rPr>
          <w:sz w:val="21"/>
          <w:szCs w:val="21"/>
        </w:rPr>
        <w:t>已</w:t>
      </w:r>
      <w:r>
        <w:rPr>
          <w:rFonts w:hint="eastAsia"/>
          <w:sz w:val="21"/>
          <w:szCs w:val="21"/>
          <w:lang w:val="en-US" w:eastAsia="zh-CN"/>
        </w:rPr>
        <w:t>获得国家承认大学本科学历，且已经获得学士及学士以上学位三年以上（含三年），已获得的学位证书可以通过国家学位认证；</w:t>
      </w:r>
    </w:p>
    <w:p>
      <w:pPr>
        <w:pStyle w:val="5"/>
        <w:snapToGrid w:val="0"/>
        <w:spacing w:line="360" w:lineRule="auto"/>
        <w:contextualSpacing/>
        <w:rPr>
          <w:rFonts w:hint="eastAsia"/>
          <w:sz w:val="21"/>
          <w:szCs w:val="21"/>
          <w:lang w:val="en-US" w:eastAsia="zh-CN"/>
        </w:rPr>
      </w:pPr>
      <w:r>
        <w:rPr>
          <w:rFonts w:hint="eastAsia"/>
          <w:sz w:val="21"/>
          <w:szCs w:val="21"/>
          <w:lang w:val="en-US" w:eastAsia="zh-CN"/>
        </w:rPr>
        <w:t xml:space="preserve">  3、对已获得学士学位的国（境）外学位的，其所获得的国（镜）外学位需经教育部留学服务中心认证。</w:t>
      </w:r>
    </w:p>
    <w:p>
      <w:pPr>
        <w:pStyle w:val="5"/>
        <w:snapToGrid w:val="0"/>
        <w:spacing w:line="360" w:lineRule="auto"/>
        <w:contextualSpacing/>
        <w:rPr>
          <w:rFonts w:hint="eastAsia"/>
          <w:sz w:val="21"/>
          <w:szCs w:val="21"/>
          <w:lang w:val="en-US" w:eastAsia="zh-CN"/>
        </w:rPr>
      </w:pPr>
    </w:p>
    <w:p>
      <w:pPr>
        <w:numPr>
          <w:ilvl w:val="0"/>
          <w:numId w:val="1"/>
        </w:numPr>
        <w:rPr>
          <w:rFonts w:hint="default"/>
          <w:b/>
          <w:bCs/>
          <w:lang w:val="en-US" w:eastAsia="zh-CN"/>
        </w:rPr>
      </w:pPr>
      <w:r>
        <w:rPr>
          <w:rFonts w:hint="eastAsia"/>
          <w:b/>
          <w:bCs/>
          <w:lang w:val="en-US" w:eastAsia="zh-CN"/>
        </w:rPr>
        <w:t>报名材料：</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1、身份证原件及复印件1份，网报系统注的ID号；</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2、本人学历证书、学士学位证书原件及复印件、学位认证报告（原件）；</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3、同等学力人员申请硕士学位报名表；</w:t>
      </w:r>
    </w:p>
    <w:p>
      <w:pPr>
        <w:pStyle w:val="5"/>
        <w:snapToGrid w:val="0"/>
        <w:spacing w:line="360" w:lineRule="auto"/>
        <w:ind w:firstLine="420" w:firstLineChars="200"/>
        <w:contextualSpacing/>
        <w:rPr>
          <w:rFonts w:hint="eastAsia"/>
          <w:b/>
          <w:bCs/>
          <w:lang w:val="en-US" w:eastAsia="zh-CN"/>
        </w:rPr>
      </w:pPr>
      <w:r>
        <w:rPr>
          <w:rFonts w:hint="eastAsia"/>
          <w:sz w:val="21"/>
          <w:szCs w:val="21"/>
          <w:lang w:val="en-US" w:eastAsia="zh-CN"/>
        </w:rPr>
        <w:t>4、两寸证件照片2张和电子照片；</w:t>
      </w:r>
    </w:p>
    <w:p>
      <w:pPr>
        <w:widowControl w:val="0"/>
        <w:numPr>
          <w:ilvl w:val="0"/>
          <w:numId w:val="0"/>
        </w:numPr>
        <w:jc w:val="both"/>
        <w:rPr>
          <w:rFonts w:hint="default"/>
          <w:b/>
          <w:bCs/>
          <w:lang w:val="en-US" w:eastAsia="zh-CN"/>
        </w:rPr>
      </w:pPr>
    </w:p>
    <w:p>
      <w:pPr>
        <w:numPr>
          <w:ilvl w:val="0"/>
          <w:numId w:val="1"/>
        </w:numPr>
        <w:rPr>
          <w:rFonts w:hint="eastAsia"/>
          <w:b/>
          <w:bCs/>
          <w:lang w:val="en-US" w:eastAsia="zh-CN"/>
        </w:rPr>
      </w:pPr>
      <w:r>
        <w:rPr>
          <w:rFonts w:hint="eastAsia"/>
          <w:b/>
          <w:bCs/>
          <w:lang w:val="en-US" w:eastAsia="zh-CN"/>
        </w:rPr>
        <w:t>培养方式和学制：</w:t>
      </w:r>
    </w:p>
    <w:p>
      <w:pPr>
        <w:pStyle w:val="5"/>
        <w:keepNext w:val="0"/>
        <w:keepLines w:val="0"/>
        <w:pageBreakBefore w:val="0"/>
        <w:widowControl/>
        <w:kinsoku/>
        <w:wordWrap/>
        <w:overflowPunct/>
        <w:topLinePunct w:val="0"/>
        <w:autoSpaceDE/>
        <w:autoSpaceDN/>
        <w:bidi w:val="0"/>
        <w:adjustRightInd/>
        <w:snapToGrid w:val="0"/>
        <w:spacing w:line="360" w:lineRule="auto"/>
        <w:ind w:firstLine="420" w:firstLineChars="200"/>
        <w:contextualSpacing/>
        <w:textAlignment w:val="auto"/>
        <w:rPr>
          <w:rFonts w:hint="default"/>
          <w:sz w:val="21"/>
          <w:szCs w:val="21"/>
          <w:lang w:val="en-US" w:eastAsia="zh-CN"/>
        </w:rPr>
      </w:pPr>
      <w:r>
        <w:rPr>
          <w:rFonts w:hint="eastAsia"/>
          <w:sz w:val="21"/>
          <w:szCs w:val="21"/>
          <w:lang w:val="en-US" w:eastAsia="zh-CN"/>
        </w:rPr>
        <w:t>1、采取线上线下灵活教学模式，具体根据当地疫情情况酌情安排；</w:t>
      </w:r>
    </w:p>
    <w:p>
      <w:pPr>
        <w:pStyle w:val="5"/>
        <w:keepNext w:val="0"/>
        <w:keepLines w:val="0"/>
        <w:pageBreakBefore w:val="0"/>
        <w:widowControl/>
        <w:kinsoku/>
        <w:wordWrap/>
        <w:overflowPunct/>
        <w:topLinePunct w:val="0"/>
        <w:autoSpaceDE/>
        <w:autoSpaceDN/>
        <w:bidi w:val="0"/>
        <w:adjustRightInd/>
        <w:snapToGrid w:val="0"/>
        <w:spacing w:line="360" w:lineRule="auto"/>
        <w:ind w:firstLine="420" w:firstLineChars="200"/>
        <w:contextualSpacing/>
        <w:textAlignment w:val="auto"/>
        <w:rPr>
          <w:rFonts w:hint="default"/>
          <w:sz w:val="21"/>
          <w:szCs w:val="21"/>
          <w:lang w:val="en-US" w:eastAsia="zh-CN"/>
        </w:rPr>
      </w:pPr>
      <w:r>
        <w:rPr>
          <w:rFonts w:hint="eastAsia"/>
          <w:sz w:val="21"/>
          <w:szCs w:val="21"/>
          <w:lang w:val="en-US" w:eastAsia="zh-CN"/>
        </w:rPr>
        <w:t>2、学习期限：2年 。</w:t>
      </w: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收费标准：</w:t>
      </w:r>
    </w:p>
    <w:p>
      <w:pPr>
        <w:widowControl w:val="0"/>
        <w:numPr>
          <w:ilvl w:val="0"/>
          <w:numId w:val="0"/>
        </w:numPr>
        <w:jc w:val="both"/>
        <w:rPr>
          <w:rFonts w:hint="eastAsia"/>
          <w:b/>
          <w:bCs/>
          <w:lang w:val="en-US" w:eastAsia="zh-CN"/>
        </w:rPr>
      </w:pPr>
      <w:r>
        <w:rPr>
          <w:rFonts w:hint="eastAsia"/>
          <w:b w:val="0"/>
          <w:bCs w:val="0"/>
          <w:color w:val="auto"/>
          <w:lang w:val="en-US" w:eastAsia="zh-CN"/>
        </w:rPr>
        <w:t xml:space="preserve">   费用：36800元，含学费、教务管理费、学杂费</w:t>
      </w:r>
    </w:p>
    <w:p>
      <w:pPr>
        <w:widowControl w:val="0"/>
        <w:numPr>
          <w:ilvl w:val="0"/>
          <w:numId w:val="0"/>
        </w:numPr>
        <w:jc w:val="both"/>
        <w:rPr>
          <w:rFonts w:hint="eastAsia"/>
          <w:b/>
          <w:bCs/>
          <w:lang w:val="en-US" w:eastAsia="zh-CN"/>
        </w:rPr>
      </w:pPr>
    </w:p>
    <w:p>
      <w:pPr>
        <w:widowControl w:val="0"/>
        <w:numPr>
          <w:ilvl w:val="0"/>
          <w:numId w:val="0"/>
        </w:numPr>
        <w:jc w:val="both"/>
        <w:rPr>
          <w:rFonts w:hint="default"/>
          <w:b/>
          <w:bCs/>
          <w:lang w:val="en-US" w:eastAsia="zh-CN"/>
        </w:rPr>
      </w:pPr>
    </w:p>
    <w:p>
      <w:pPr>
        <w:numPr>
          <w:ilvl w:val="0"/>
          <w:numId w:val="1"/>
        </w:numPr>
        <w:rPr>
          <w:rFonts w:hint="eastAsia"/>
          <w:b/>
          <w:bCs/>
          <w:lang w:val="en-US" w:eastAsia="zh-CN"/>
        </w:rPr>
      </w:pPr>
      <w:r>
        <w:rPr>
          <w:rFonts w:hint="eastAsia"/>
          <w:b/>
          <w:bCs/>
          <w:lang w:val="en-US" w:eastAsia="zh-CN"/>
        </w:rPr>
        <w:t>获取证书：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default" w:eastAsia="宋体"/>
          <w:sz w:val="21"/>
          <w:szCs w:val="21"/>
          <w:lang w:val="en-US" w:eastAsia="zh-CN"/>
        </w:rPr>
      </w:pPr>
      <w:r>
        <w:rPr>
          <w:sz w:val="21"/>
          <w:szCs w:val="21"/>
        </w:rPr>
        <w:t>学员在规定期限内完成</w:t>
      </w:r>
      <w:r>
        <w:rPr>
          <w:rFonts w:hint="eastAsia"/>
          <w:sz w:val="21"/>
          <w:szCs w:val="21"/>
          <w:lang w:val="en-US" w:eastAsia="zh-CN"/>
        </w:rPr>
        <w:t>研究生同等学力申硕</w:t>
      </w:r>
      <w:r>
        <w:rPr>
          <w:sz w:val="21"/>
          <w:szCs w:val="21"/>
        </w:rPr>
        <w:t>课程培训班的学习项目，通过规定的课程考试，</w:t>
      </w:r>
      <w:r>
        <w:rPr>
          <w:rFonts w:hint="eastAsia"/>
          <w:sz w:val="21"/>
          <w:szCs w:val="21"/>
          <w:lang w:val="en-US" w:eastAsia="zh-CN"/>
        </w:rPr>
        <w:t>合格者可获得“四川师范大学同等学力申硕学位课程结业证书”。</w:t>
      </w:r>
    </w:p>
    <w:p>
      <w:pPr>
        <w:widowControl w:val="0"/>
        <w:numPr>
          <w:ilvl w:val="0"/>
          <w:numId w:val="0"/>
        </w:numPr>
        <w:jc w:val="both"/>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308600"/>
          <wp:effectExtent l="0" t="0" r="2540" b="6350"/>
          <wp:wrapNone/>
          <wp:docPr id="4" name="WordPictureWatermark35626" descr="四川师范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5626" descr="四川师范大学LOGO"/>
                  <pic:cNvPicPr>
                    <a:picLocks noChangeAspect="1"/>
                  </pic:cNvPicPr>
                </pic:nvPicPr>
                <pic:blipFill>
                  <a:blip r:embed="rId1">
                    <a:lum bright="69998" contrast="-70001"/>
                  </a:blip>
                  <a:stretch>
                    <a:fillRect/>
                  </a:stretch>
                </pic:blipFill>
                <pic:spPr>
                  <a:xfrm>
                    <a:off x="0" y="0"/>
                    <a:ext cx="5274310" cy="53086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E0B413"/>
    <w:multiLevelType w:val="singleLevel"/>
    <w:tmpl w:val="68E0B413"/>
    <w:lvl w:ilvl="0" w:tentative="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D6FC5"/>
    <w:rsid w:val="001A795F"/>
    <w:rsid w:val="151D6FC5"/>
    <w:rsid w:val="21BE2CFB"/>
    <w:rsid w:val="249B0CBF"/>
    <w:rsid w:val="28C033E3"/>
    <w:rsid w:val="2A06441D"/>
    <w:rsid w:val="2E917F80"/>
    <w:rsid w:val="36FF4265"/>
    <w:rsid w:val="3769162F"/>
    <w:rsid w:val="3ADE1C1B"/>
    <w:rsid w:val="3FB26B4E"/>
    <w:rsid w:val="424B3CDF"/>
    <w:rsid w:val="43B9736F"/>
    <w:rsid w:val="55F75F1F"/>
    <w:rsid w:val="67DF5F0C"/>
    <w:rsid w:val="71153587"/>
    <w:rsid w:val="7EAE324C"/>
    <w:rsid w:val="7FC85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qFormat/>
    <w:uiPriority w:val="0"/>
    <w:pPr>
      <w:spacing w:before="100" w:beforeAutospacing="1" w:after="100" w:afterAutospacing="1"/>
      <w:jc w:val="left"/>
      <w:outlineLvl w:val="5"/>
    </w:pPr>
    <w:rPr>
      <w:rFonts w:ascii="宋体" w:hAnsi="宋体"/>
      <w:b/>
      <w:kern w:val="0"/>
      <w:sz w:val="15"/>
      <w:szCs w:val="15"/>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1492</Words>
  <Characters>1510</Characters>
  <Lines>0</Lines>
  <Paragraphs>0</Paragraphs>
  <TotalTime>0</TotalTime>
  <ScaleCrop>false</ScaleCrop>
  <LinksUpToDate>false</LinksUpToDate>
  <CharactersWithSpaces>1523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2022-04-19T03:17:00Z</dcterms:created>
  <dc:creator>言西</dc:creator>
  <cp:lastModifiedBy>冰冰⊙▽⊙＊</cp:lastModifiedBy>
  <dcterms:modified xsi:type="dcterms:W3CDTF">2022-05-16T06:35:00Z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2DA32D9D45BC41EF8D213F6E7F257865</vt:lpwstr>
  </property>
  <property fmtid="{D5CDD505-2E9C-101B-9397-08002B2CF9AE}" pid="4" name="commondata">
    <vt:lpwstr>eyJoZGlkIjoiMjJkYmYyOGQwNjU2YTFjYjBlYWQzZDdlZjc2Nzk1ZWYifQ==</vt:lpwstr>
  </property>
</Properties>
</file>